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622AB" w14:textId="225F9924" w:rsidR="008566DB" w:rsidRDefault="00525521" w:rsidP="009E2D03">
      <w:pPr>
        <w:pStyle w:val="Footer"/>
        <w:jc w:val="center"/>
        <w:rPr>
          <w:rFonts w:asciiTheme="majorHAnsi" w:hAnsiTheme="majorHAnsi" w:cstheme="majorHAnsi"/>
          <w:b/>
          <w:bCs/>
          <w:color w:val="990033"/>
          <w:sz w:val="32"/>
          <w:szCs w:val="32"/>
          <w:u w:val="single"/>
        </w:rPr>
      </w:pPr>
      <w:r>
        <w:rPr>
          <w:rFonts w:asciiTheme="majorHAnsi" w:hAnsiTheme="majorHAnsi" w:cstheme="majorHAnsi"/>
          <w:b/>
          <w:bCs/>
          <w:color w:val="990033"/>
          <w:sz w:val="32"/>
          <w:szCs w:val="32"/>
          <w:u w:val="single"/>
        </w:rPr>
        <w:t>2-Butoxyethanol (</w:t>
      </w:r>
      <w:r w:rsidR="0025696C">
        <w:rPr>
          <w:rFonts w:asciiTheme="majorHAnsi" w:hAnsiTheme="majorHAnsi" w:cstheme="majorHAnsi"/>
          <w:b/>
          <w:bCs/>
          <w:color w:val="990033"/>
          <w:sz w:val="32"/>
          <w:szCs w:val="32"/>
          <w:u w:val="single"/>
        </w:rPr>
        <w:t>BAA</w:t>
      </w:r>
      <w:r>
        <w:rPr>
          <w:rFonts w:asciiTheme="majorHAnsi" w:hAnsiTheme="majorHAnsi" w:cstheme="majorHAnsi"/>
          <w:b/>
          <w:bCs/>
          <w:color w:val="990033"/>
          <w:sz w:val="32"/>
          <w:szCs w:val="32"/>
          <w:u w:val="single"/>
        </w:rPr>
        <w:t>)</w:t>
      </w:r>
    </w:p>
    <w:p w14:paraId="579E74F3" w14:textId="1036DB4E" w:rsidR="0025696C" w:rsidRPr="00525521" w:rsidRDefault="0025696C" w:rsidP="00525521">
      <w:pPr>
        <w:rPr>
          <w:rFonts w:asciiTheme="majorHAnsi" w:hAnsiTheme="majorHAnsi" w:cstheme="majorHAnsi"/>
          <w:b/>
          <w:bCs/>
          <w:i/>
          <w:iCs/>
          <w:sz w:val="22"/>
          <w:szCs w:val="22"/>
        </w:rPr>
      </w:pPr>
      <w:r w:rsidRPr="00525521">
        <w:rPr>
          <w:rFonts w:asciiTheme="majorHAnsi" w:hAnsiTheme="majorHAnsi" w:cstheme="majorHAnsi"/>
          <w:b/>
          <w:bCs/>
          <w:i/>
          <w:iCs/>
          <w:sz w:val="22"/>
          <w:szCs w:val="22"/>
        </w:rPr>
        <w:t>Who is this guidance for?</w:t>
      </w:r>
    </w:p>
    <w:p w14:paraId="2387EB19" w14:textId="77777777" w:rsidR="00525521" w:rsidRPr="00525521" w:rsidRDefault="00525521" w:rsidP="00525521">
      <w:pPr>
        <w:rPr>
          <w:rFonts w:asciiTheme="majorHAnsi" w:hAnsiTheme="majorHAnsi" w:cstheme="majorHAnsi"/>
          <w:i/>
          <w:iCs/>
          <w:sz w:val="22"/>
          <w:szCs w:val="22"/>
        </w:rPr>
      </w:pPr>
    </w:p>
    <w:p w14:paraId="74F9638B" w14:textId="157690BD"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This guidance is primarily aimed at employers or individuals with delegated responsibility for managing workplace exposure to substances. Whilst it is not exhaustive, the information presented is intended to demonstrate how biomonitoring can help with this duty. Some simple advice is presented to help non-specialist users to get the most out of biomonitoring covering (1) when to take a sample to ensure reliable and comparable results over time; (2) putting the result into context with respect to background (environmental) levels or what can reasonably be achieved with good exposure control; and (3) some basic technical data that can help to evaluate an analytical service provider. For further information you should consult your chosen analytical service provider who should be happy to discuss your specific requirements and find solutions.</w:t>
      </w:r>
    </w:p>
    <w:p w14:paraId="1E6CC076" w14:textId="4D4E2452" w:rsidR="0025696C" w:rsidRPr="00525521" w:rsidRDefault="00525521" w:rsidP="0025696C">
      <w:pPr>
        <w:rPr>
          <w:rFonts w:asciiTheme="majorHAnsi" w:hAnsiTheme="majorHAnsi" w:cstheme="majorHAnsi"/>
          <w:b/>
          <w:bCs/>
          <w:sz w:val="22"/>
          <w:szCs w:val="22"/>
        </w:rPr>
      </w:pPr>
      <w:r w:rsidRPr="00525521">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5579945E" wp14:editId="6E2A645D">
                <wp:simplePos x="0" y="0"/>
                <wp:positionH relativeFrom="margin">
                  <wp:posOffset>2950210</wp:posOffset>
                </wp:positionH>
                <wp:positionV relativeFrom="paragraph">
                  <wp:posOffset>128905</wp:posOffset>
                </wp:positionV>
                <wp:extent cx="3171825" cy="16573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3171825" cy="1657350"/>
                        </a:xfrm>
                        <a:prstGeom prst="rect">
                          <a:avLst/>
                        </a:prstGeom>
                        <a:solidFill>
                          <a:schemeClr val="lt1"/>
                        </a:solidFill>
                        <a:ln w="6350">
                          <a:solidFill>
                            <a:prstClr val="black"/>
                          </a:solidFill>
                        </a:ln>
                      </wps:spPr>
                      <wps:txbx>
                        <w:txbxContent>
                          <w:p w14:paraId="45C92315" w14:textId="77777777" w:rsidR="0025696C" w:rsidRPr="00525521"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Hazardous Substances:</w:t>
                            </w:r>
                          </w:p>
                          <w:p w14:paraId="5053AD07"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2-Butoxyethanol</w:t>
                            </w:r>
                          </w:p>
                          <w:p w14:paraId="3521BB90"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CAS number: 111-76-2</w:t>
                            </w:r>
                          </w:p>
                          <w:p w14:paraId="6A254ADE"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Alternative names:</w:t>
                            </w:r>
                          </w:p>
                          <w:p w14:paraId="33B61265" w14:textId="7778908D" w:rsidR="0025696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Ethylene glycol </w:t>
                            </w:r>
                            <w:proofErr w:type="spellStart"/>
                            <w:r w:rsidRPr="00525521">
                              <w:rPr>
                                <w:rFonts w:asciiTheme="majorHAnsi" w:hAnsiTheme="majorHAnsi" w:cstheme="majorHAnsi"/>
                                <w:sz w:val="22"/>
                                <w:szCs w:val="22"/>
                              </w:rPr>
                              <w:t>monobutyl</w:t>
                            </w:r>
                            <w:proofErr w:type="spellEnd"/>
                            <w:r w:rsidRPr="00525521">
                              <w:rPr>
                                <w:rFonts w:asciiTheme="majorHAnsi" w:hAnsiTheme="majorHAnsi" w:cstheme="majorHAnsi"/>
                                <w:sz w:val="22"/>
                                <w:szCs w:val="22"/>
                              </w:rPr>
                              <w:t xml:space="preserve"> ether (EGBE), Butyl glycol</w:t>
                            </w:r>
                          </w:p>
                          <w:p w14:paraId="674E5D6B" w14:textId="77777777" w:rsidR="00525521" w:rsidRPr="00525521" w:rsidRDefault="00525521" w:rsidP="0025696C">
                            <w:pPr>
                              <w:rPr>
                                <w:rFonts w:asciiTheme="majorHAnsi" w:hAnsiTheme="majorHAnsi" w:cstheme="majorHAnsi"/>
                                <w:sz w:val="22"/>
                                <w:szCs w:val="22"/>
                              </w:rPr>
                            </w:pPr>
                          </w:p>
                          <w:p w14:paraId="6AEC8E2C" w14:textId="77777777" w:rsidR="0025696C" w:rsidRPr="00525521"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Workplace Exposure Limits:</w:t>
                            </w:r>
                          </w:p>
                          <w:p w14:paraId="101713E4"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8-hour TWA: 25 ppm; 15-minute STEL: 50 ppm </w:t>
                            </w:r>
                          </w:p>
                          <w:p w14:paraId="6062C680"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Skin notation</w:t>
                            </w:r>
                          </w:p>
                          <w:p w14:paraId="486610F0" w14:textId="77777777" w:rsidR="0025696C" w:rsidRDefault="0025696C" w:rsidP="0025696C"/>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9945E" id="_x0000_t202" coordsize="21600,21600" o:spt="202" path="m,l,21600r21600,l21600,xe">
                <v:stroke joinstyle="miter"/>
                <v:path gradientshapeok="t" o:connecttype="rect"/>
              </v:shapetype>
              <v:shape id="Text Box 1" o:spid="_x0000_s1026" type="#_x0000_t202" style="position:absolute;margin-left:232.3pt;margin-top:10.15pt;width:249.75pt;height:13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" fillcolor="white [3201]" strokeweight=".5pt">
                <v:textbox>
                  <w:txbxContent>
                    <w:p w14:paraId="45C92315" w14:textId="77777777" w:rsidR="0025696C" w:rsidRPr="00525521"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Hazardous Substances:</w:t>
                      </w:r>
                    </w:p>
                    <w:p w14:paraId="5053AD07"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2-Butoxyethanol</w:t>
                      </w:r>
                    </w:p>
                    <w:p w14:paraId="3521BB90"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CAS number: 111-76-2</w:t>
                      </w:r>
                    </w:p>
                    <w:p w14:paraId="6A254ADE"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Alternative names:</w:t>
                      </w:r>
                    </w:p>
                    <w:p w14:paraId="33B61265" w14:textId="7778908D" w:rsidR="0025696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Ethylene glycol </w:t>
                      </w:r>
                      <w:proofErr w:type="spellStart"/>
                      <w:r w:rsidRPr="00525521">
                        <w:rPr>
                          <w:rFonts w:asciiTheme="majorHAnsi" w:hAnsiTheme="majorHAnsi" w:cstheme="majorHAnsi"/>
                          <w:sz w:val="22"/>
                          <w:szCs w:val="22"/>
                        </w:rPr>
                        <w:t>monobutyl</w:t>
                      </w:r>
                      <w:proofErr w:type="spellEnd"/>
                      <w:r w:rsidRPr="00525521">
                        <w:rPr>
                          <w:rFonts w:asciiTheme="majorHAnsi" w:hAnsiTheme="majorHAnsi" w:cstheme="majorHAnsi"/>
                          <w:sz w:val="22"/>
                          <w:szCs w:val="22"/>
                        </w:rPr>
                        <w:t xml:space="preserve"> ether (EGBE), Butyl glycol</w:t>
                      </w:r>
                    </w:p>
                    <w:p w14:paraId="674E5D6B" w14:textId="77777777" w:rsidR="00525521" w:rsidRPr="00525521" w:rsidRDefault="00525521" w:rsidP="0025696C">
                      <w:pPr>
                        <w:rPr>
                          <w:rFonts w:asciiTheme="majorHAnsi" w:hAnsiTheme="majorHAnsi" w:cstheme="majorHAnsi"/>
                          <w:sz w:val="22"/>
                          <w:szCs w:val="22"/>
                        </w:rPr>
                      </w:pPr>
                    </w:p>
                    <w:p w14:paraId="6AEC8E2C" w14:textId="77777777" w:rsidR="0025696C" w:rsidRPr="00525521"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Workplace Exposure Limits:</w:t>
                      </w:r>
                    </w:p>
                    <w:p w14:paraId="101713E4"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8-hour TWA: 25 ppm; 15-minute STEL: 50 ppm </w:t>
                      </w:r>
                    </w:p>
                    <w:p w14:paraId="6062C680"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Skin notation</w:t>
                      </w:r>
                    </w:p>
                    <w:p w14:paraId="486610F0" w14:textId="77777777" w:rsidR="0025696C" w:rsidRDefault="0025696C" w:rsidP="0025696C"/>
                  </w:txbxContent>
                </v:textbox>
                <w10:wrap anchorx="margin"/>
              </v:shape>
            </w:pict>
          </mc:Fallback>
        </mc:AlternateContent>
      </w:r>
    </w:p>
    <w:p w14:paraId="15735E41" w14:textId="30080DD4" w:rsidR="00525521" w:rsidRPr="00525521" w:rsidRDefault="00525521" w:rsidP="0025696C">
      <w:pPr>
        <w:rPr>
          <w:rFonts w:asciiTheme="majorHAnsi" w:hAnsiTheme="majorHAnsi" w:cstheme="majorHAnsi"/>
          <w:b/>
          <w:bCs/>
          <w:sz w:val="22"/>
          <w:szCs w:val="22"/>
        </w:rPr>
      </w:pPr>
    </w:p>
    <w:p w14:paraId="6E766DD3" w14:textId="40073C0E" w:rsidR="00525521" w:rsidRPr="00525521" w:rsidRDefault="00525521" w:rsidP="0025696C">
      <w:pPr>
        <w:rPr>
          <w:rFonts w:asciiTheme="majorHAnsi" w:hAnsiTheme="majorHAnsi" w:cstheme="majorHAnsi"/>
          <w:b/>
          <w:bCs/>
          <w:sz w:val="22"/>
          <w:szCs w:val="22"/>
        </w:rPr>
      </w:pPr>
      <w:r w:rsidRPr="00525521">
        <w:rPr>
          <w:rFonts w:asciiTheme="majorHAnsi" w:hAnsiTheme="majorHAnsi" w:cstheme="majorHAnsi"/>
          <w:noProof/>
          <w:sz w:val="22"/>
          <w:szCs w:val="22"/>
        </w:rPr>
        <mc:AlternateContent>
          <mc:Choice Requires="wps">
            <w:drawing>
              <wp:anchor distT="45720" distB="45720" distL="114300" distR="114300" simplePos="0" relativeHeight="251658240" behindDoc="0" locked="0" layoutInCell="1" allowOverlap="1" wp14:anchorId="2807FCCA" wp14:editId="7097CE35">
                <wp:simplePos x="0" y="0"/>
                <wp:positionH relativeFrom="margin">
                  <wp:align>left</wp:align>
                </wp:positionH>
                <wp:positionV relativeFrom="paragraph">
                  <wp:posOffset>6350</wp:posOffset>
                </wp:positionV>
                <wp:extent cx="2514600" cy="1284605"/>
                <wp:effectExtent l="0" t="0" r="19050" b="1206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84605"/>
                        </a:xfrm>
                        <a:prstGeom prst="rect">
                          <a:avLst/>
                        </a:prstGeom>
                        <a:solidFill>
                          <a:srgbClr val="FFFFFF"/>
                        </a:solidFill>
                        <a:ln w="9525">
                          <a:solidFill>
                            <a:srgbClr val="000000"/>
                          </a:solidFill>
                          <a:miter lim="800000"/>
                          <a:headEnd/>
                          <a:tailEnd/>
                        </a:ln>
                      </wps:spPr>
                      <wps:txbx>
                        <w:txbxContent>
                          <w:p w14:paraId="6D618DDE" w14:textId="77777777" w:rsidR="0025696C" w:rsidRPr="00525521"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2-Butoxyethanol</w:t>
                            </w:r>
                          </w:p>
                          <w:p w14:paraId="528C6FB0" w14:textId="721D46D6" w:rsidR="0025696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Monitored by analysis of 2-butoxyacetic acid in urine</w:t>
                            </w:r>
                          </w:p>
                          <w:p w14:paraId="68337A19" w14:textId="77777777" w:rsidR="00525521" w:rsidRPr="00525521" w:rsidRDefault="00525521" w:rsidP="0025696C">
                            <w:pPr>
                              <w:rPr>
                                <w:rFonts w:asciiTheme="majorHAnsi" w:hAnsiTheme="majorHAnsi" w:cstheme="majorHAnsi"/>
                                <w:sz w:val="22"/>
                                <w:szCs w:val="22"/>
                              </w:rPr>
                            </w:pPr>
                          </w:p>
                          <w:p w14:paraId="70A59E75" w14:textId="499CDDBD"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b/>
                                <w:bCs/>
                                <w:sz w:val="22"/>
                                <w:szCs w:val="22"/>
                              </w:rPr>
                              <w:t>BMGV</w:t>
                            </w:r>
                            <w:r w:rsidRPr="00525521">
                              <w:rPr>
                                <w:rFonts w:asciiTheme="majorHAnsi" w:hAnsiTheme="majorHAnsi" w:cstheme="majorHAnsi"/>
                                <w:sz w:val="22"/>
                                <w:szCs w:val="22"/>
                              </w:rPr>
                              <w:t>: 240 mmol 2-butoxyacetic acid /mol creatinine</w:t>
                            </w:r>
                          </w:p>
                          <w:p w14:paraId="1CBCE172" w14:textId="77777777" w:rsidR="0025696C" w:rsidRDefault="0025696C" w:rsidP="0025696C"/>
                        </w:txbxContent>
                      </wps:txbx>
                      <wps:bodyPr rot="0" vertOverflow="clip" horzOverflow="clip"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07FCCA" id="Text Box 217" o:spid="_x0000_s1027" type="#_x0000_t202" style="position:absolute;margin-left:0;margin-top:.5pt;width:198pt;height:101.15pt;z-index:25165824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">
                <v:textbox style="mso-fit-shape-to-text:t">
                  <w:txbxContent>
                    <w:p w14:paraId="6D618DDE" w14:textId="77777777" w:rsidR="0025696C" w:rsidRPr="00525521"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2-Butoxyethanol</w:t>
                      </w:r>
                    </w:p>
                    <w:p w14:paraId="528C6FB0" w14:textId="721D46D6" w:rsidR="0025696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Monitored by analysis of 2-butoxyacetic acid in urine</w:t>
                      </w:r>
                    </w:p>
                    <w:p w14:paraId="68337A19" w14:textId="77777777" w:rsidR="00525521" w:rsidRPr="00525521" w:rsidRDefault="00525521" w:rsidP="0025696C">
                      <w:pPr>
                        <w:rPr>
                          <w:rFonts w:asciiTheme="majorHAnsi" w:hAnsiTheme="majorHAnsi" w:cstheme="majorHAnsi"/>
                          <w:sz w:val="22"/>
                          <w:szCs w:val="22"/>
                        </w:rPr>
                      </w:pPr>
                    </w:p>
                    <w:p w14:paraId="70A59E75" w14:textId="499CDDBD"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b/>
                          <w:bCs/>
                          <w:sz w:val="22"/>
                          <w:szCs w:val="22"/>
                        </w:rPr>
                        <w:t>BMGV</w:t>
                      </w:r>
                      <w:r w:rsidRPr="00525521">
                        <w:rPr>
                          <w:rFonts w:asciiTheme="majorHAnsi" w:hAnsiTheme="majorHAnsi" w:cstheme="majorHAnsi"/>
                          <w:sz w:val="22"/>
                          <w:szCs w:val="22"/>
                        </w:rPr>
                        <w:t>: 240 mmol 2-butoxyacetic acid /mol creatinine</w:t>
                      </w:r>
                    </w:p>
                    <w:p w14:paraId="1CBCE172" w14:textId="77777777" w:rsidR="0025696C" w:rsidRDefault="0025696C" w:rsidP="0025696C"/>
                  </w:txbxContent>
                </v:textbox>
                <w10:wrap type="square" anchorx="margin"/>
              </v:shape>
            </w:pict>
          </mc:Fallback>
        </mc:AlternateContent>
      </w:r>
    </w:p>
    <w:p w14:paraId="1493D22C" w14:textId="19F51C3A" w:rsidR="00525521" w:rsidRPr="00525521" w:rsidRDefault="00525521" w:rsidP="0025696C">
      <w:pPr>
        <w:rPr>
          <w:rFonts w:asciiTheme="majorHAnsi" w:hAnsiTheme="majorHAnsi" w:cstheme="majorHAnsi"/>
          <w:b/>
          <w:bCs/>
          <w:sz w:val="22"/>
          <w:szCs w:val="22"/>
        </w:rPr>
      </w:pPr>
    </w:p>
    <w:p w14:paraId="45234FA3" w14:textId="4A839615" w:rsidR="00525521" w:rsidRPr="00525521" w:rsidRDefault="00525521" w:rsidP="0025696C">
      <w:pPr>
        <w:rPr>
          <w:rFonts w:asciiTheme="majorHAnsi" w:hAnsiTheme="majorHAnsi" w:cstheme="majorHAnsi"/>
          <w:b/>
          <w:bCs/>
          <w:sz w:val="22"/>
          <w:szCs w:val="22"/>
        </w:rPr>
      </w:pPr>
    </w:p>
    <w:p w14:paraId="497230CE" w14:textId="659C4511" w:rsidR="00525521" w:rsidRPr="00525521" w:rsidRDefault="00525521" w:rsidP="0025696C">
      <w:pPr>
        <w:rPr>
          <w:rFonts w:asciiTheme="majorHAnsi" w:hAnsiTheme="majorHAnsi" w:cstheme="majorHAnsi"/>
          <w:b/>
          <w:bCs/>
          <w:sz w:val="22"/>
          <w:szCs w:val="22"/>
        </w:rPr>
      </w:pPr>
    </w:p>
    <w:p w14:paraId="3D5F5E51" w14:textId="68B11080" w:rsidR="00525521" w:rsidRPr="00525521" w:rsidRDefault="00525521" w:rsidP="0025696C">
      <w:pPr>
        <w:rPr>
          <w:rFonts w:asciiTheme="majorHAnsi" w:hAnsiTheme="majorHAnsi" w:cstheme="majorHAnsi"/>
          <w:b/>
          <w:bCs/>
          <w:sz w:val="22"/>
          <w:szCs w:val="22"/>
        </w:rPr>
      </w:pPr>
    </w:p>
    <w:p w14:paraId="619589AB" w14:textId="4D754024" w:rsidR="00525521" w:rsidRPr="00525521" w:rsidRDefault="00525521" w:rsidP="0025696C">
      <w:pPr>
        <w:rPr>
          <w:rFonts w:asciiTheme="majorHAnsi" w:hAnsiTheme="majorHAnsi" w:cstheme="majorHAnsi"/>
          <w:b/>
          <w:bCs/>
          <w:sz w:val="22"/>
          <w:szCs w:val="22"/>
        </w:rPr>
      </w:pPr>
    </w:p>
    <w:p w14:paraId="6CB19261" w14:textId="59AC0CDC" w:rsidR="00525521" w:rsidRPr="00525521" w:rsidRDefault="00525521" w:rsidP="0025696C">
      <w:pPr>
        <w:rPr>
          <w:rFonts w:asciiTheme="majorHAnsi" w:hAnsiTheme="majorHAnsi" w:cstheme="majorHAnsi"/>
          <w:b/>
          <w:bCs/>
          <w:sz w:val="22"/>
          <w:szCs w:val="22"/>
        </w:rPr>
      </w:pPr>
    </w:p>
    <w:p w14:paraId="640F9CD2" w14:textId="68DF748D" w:rsidR="00525521" w:rsidRPr="00525521" w:rsidRDefault="00525521" w:rsidP="0025696C">
      <w:pPr>
        <w:rPr>
          <w:rFonts w:asciiTheme="majorHAnsi" w:hAnsiTheme="majorHAnsi" w:cstheme="majorHAnsi"/>
          <w:b/>
          <w:bCs/>
          <w:sz w:val="22"/>
          <w:szCs w:val="22"/>
        </w:rPr>
      </w:pPr>
    </w:p>
    <w:p w14:paraId="7810FAC3" w14:textId="77777777" w:rsidR="00525521" w:rsidRDefault="00525521" w:rsidP="0025696C">
      <w:pPr>
        <w:rPr>
          <w:rFonts w:asciiTheme="majorHAnsi" w:hAnsiTheme="majorHAnsi" w:cstheme="majorHAnsi"/>
          <w:b/>
          <w:bCs/>
          <w:i/>
          <w:iCs/>
          <w:sz w:val="22"/>
          <w:szCs w:val="22"/>
        </w:rPr>
      </w:pPr>
    </w:p>
    <w:p w14:paraId="4D20372C" w14:textId="3856E160" w:rsidR="0025696C" w:rsidRDefault="0025696C" w:rsidP="0025696C">
      <w:pPr>
        <w:rPr>
          <w:rFonts w:asciiTheme="majorHAnsi" w:hAnsiTheme="majorHAnsi" w:cstheme="majorHAnsi"/>
          <w:b/>
          <w:bCs/>
          <w:i/>
          <w:iCs/>
          <w:sz w:val="22"/>
          <w:szCs w:val="22"/>
        </w:rPr>
      </w:pPr>
      <w:r w:rsidRPr="00525521">
        <w:rPr>
          <w:rFonts w:asciiTheme="majorHAnsi" w:hAnsiTheme="majorHAnsi" w:cstheme="majorHAnsi"/>
          <w:b/>
          <w:bCs/>
          <w:i/>
          <w:iCs/>
          <w:sz w:val="22"/>
          <w:szCs w:val="22"/>
        </w:rPr>
        <w:t>Biological Monitoring Guidance Value (BMGV)</w:t>
      </w:r>
    </w:p>
    <w:p w14:paraId="3DEF02CF" w14:textId="77777777" w:rsidR="00525521" w:rsidRPr="00525521" w:rsidRDefault="00525521" w:rsidP="0025696C">
      <w:pPr>
        <w:rPr>
          <w:rFonts w:asciiTheme="majorHAnsi" w:hAnsiTheme="majorHAnsi" w:cstheme="majorHAnsi"/>
          <w:b/>
          <w:bCs/>
          <w:i/>
          <w:iCs/>
          <w:sz w:val="22"/>
          <w:szCs w:val="22"/>
        </w:rPr>
      </w:pPr>
    </w:p>
    <w:p w14:paraId="67F177B0"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240 mmol 2-butoxyacetic acid /mol creatinine </w:t>
      </w:r>
    </w:p>
    <w:p w14:paraId="35897993"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This is a health-based guidance value, set at a level at which there was no indication from the scientific evidence available that the substance being monitored was likely to be injurious to health.</w:t>
      </w:r>
    </w:p>
    <w:p w14:paraId="7609BFAF"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Conversion: 1mmol/mol = 1.167mg/g</w:t>
      </w:r>
    </w:p>
    <w:p w14:paraId="6F0BA11F" w14:textId="77777777" w:rsidR="0025696C" w:rsidRPr="00525521" w:rsidRDefault="0025696C" w:rsidP="0025696C">
      <w:pPr>
        <w:rPr>
          <w:rFonts w:asciiTheme="majorHAnsi" w:hAnsiTheme="majorHAnsi" w:cstheme="majorHAnsi"/>
          <w:sz w:val="22"/>
          <w:szCs w:val="22"/>
        </w:rPr>
      </w:pPr>
    </w:p>
    <w:p w14:paraId="2C31088A" w14:textId="154B978B" w:rsidR="0025696C" w:rsidRDefault="0025696C" w:rsidP="0025696C">
      <w:pPr>
        <w:rPr>
          <w:rFonts w:asciiTheme="majorHAnsi" w:hAnsiTheme="majorHAnsi" w:cstheme="majorHAnsi"/>
          <w:b/>
          <w:bCs/>
          <w:i/>
          <w:iCs/>
          <w:sz w:val="22"/>
          <w:szCs w:val="22"/>
        </w:rPr>
      </w:pPr>
      <w:r w:rsidRPr="00525521">
        <w:rPr>
          <w:rFonts w:asciiTheme="majorHAnsi" w:hAnsiTheme="majorHAnsi" w:cstheme="majorHAnsi"/>
          <w:b/>
          <w:bCs/>
          <w:i/>
          <w:iCs/>
          <w:sz w:val="22"/>
          <w:szCs w:val="22"/>
        </w:rPr>
        <w:t>Other Guidance Values</w:t>
      </w:r>
    </w:p>
    <w:p w14:paraId="100168E5" w14:textId="77777777" w:rsidR="00525521" w:rsidRPr="00525521" w:rsidRDefault="00525521" w:rsidP="0025696C">
      <w:pPr>
        <w:rPr>
          <w:rFonts w:asciiTheme="majorHAnsi" w:hAnsiTheme="majorHAnsi" w:cstheme="majorHAnsi"/>
          <w:b/>
          <w:bCs/>
          <w:i/>
          <w:iCs/>
          <w:sz w:val="22"/>
          <w:szCs w:val="22"/>
        </w:rPr>
      </w:pPr>
    </w:p>
    <w:p w14:paraId="70216DB9"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The ACGIH BEI is 200 mg/g (approx. 170 mmol/ mol creatinine) and the DFG BAT is 150 mg/g creatinine (approx. 125 mmol/mol creatinine).</w:t>
      </w:r>
    </w:p>
    <w:p w14:paraId="4D7B3902"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Guidance values from other sources may reflect different derivations and/or equivalence to different exposure limits. They will also have been set and/or reviewed at different times.</w:t>
      </w:r>
    </w:p>
    <w:p w14:paraId="0B46E3A9" w14:textId="77777777" w:rsidR="0025696C" w:rsidRPr="00525521" w:rsidRDefault="0025696C" w:rsidP="0025696C">
      <w:pPr>
        <w:rPr>
          <w:rFonts w:asciiTheme="majorHAnsi" w:hAnsiTheme="majorHAnsi" w:cstheme="majorHAnsi"/>
          <w:sz w:val="22"/>
          <w:szCs w:val="22"/>
        </w:rPr>
      </w:pPr>
    </w:p>
    <w:p w14:paraId="39988D62" w14:textId="77777777" w:rsidR="0025696C" w:rsidRPr="00525521" w:rsidRDefault="0025696C" w:rsidP="0025696C">
      <w:pPr>
        <w:rPr>
          <w:rFonts w:asciiTheme="majorHAnsi" w:hAnsiTheme="majorHAnsi" w:cstheme="majorHAnsi"/>
          <w:b/>
          <w:bCs/>
          <w:i/>
          <w:iCs/>
          <w:sz w:val="22"/>
          <w:szCs w:val="22"/>
        </w:rPr>
      </w:pPr>
      <w:r w:rsidRPr="00525521">
        <w:rPr>
          <w:rFonts w:asciiTheme="majorHAnsi" w:hAnsiTheme="majorHAnsi" w:cstheme="majorHAnsi"/>
          <w:b/>
          <w:bCs/>
          <w:i/>
          <w:iCs/>
          <w:sz w:val="22"/>
          <w:szCs w:val="22"/>
        </w:rPr>
        <w:t>Sample Collection</w:t>
      </w:r>
    </w:p>
    <w:p w14:paraId="502D29BA" w14:textId="77777777" w:rsidR="00525521" w:rsidRDefault="00525521" w:rsidP="0025696C">
      <w:pPr>
        <w:rPr>
          <w:rFonts w:asciiTheme="majorHAnsi" w:hAnsiTheme="majorHAnsi" w:cstheme="majorHAnsi"/>
          <w:sz w:val="22"/>
          <w:szCs w:val="22"/>
        </w:rPr>
      </w:pPr>
    </w:p>
    <w:p w14:paraId="2C74AAEA" w14:textId="745A8855"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Urine samples should be collected at the end of shift into polystyrene universal containers (30mL).</w:t>
      </w:r>
    </w:p>
    <w:p w14:paraId="12CDA356" w14:textId="77777777" w:rsidR="0025696C" w:rsidRPr="00525521" w:rsidRDefault="0025696C" w:rsidP="0025696C">
      <w:pPr>
        <w:rPr>
          <w:rFonts w:asciiTheme="majorHAnsi" w:hAnsiTheme="majorHAnsi" w:cstheme="majorHAnsi"/>
          <w:sz w:val="22"/>
          <w:szCs w:val="22"/>
        </w:rPr>
      </w:pPr>
    </w:p>
    <w:p w14:paraId="75FFC2ED" w14:textId="2121D1EA" w:rsidR="0025696C" w:rsidRDefault="0025696C" w:rsidP="0025696C">
      <w:pPr>
        <w:rPr>
          <w:rFonts w:asciiTheme="majorHAnsi" w:hAnsiTheme="majorHAnsi" w:cstheme="majorHAnsi"/>
          <w:b/>
          <w:bCs/>
          <w:i/>
          <w:iCs/>
          <w:sz w:val="22"/>
          <w:szCs w:val="22"/>
        </w:rPr>
      </w:pPr>
      <w:r w:rsidRPr="00525521">
        <w:rPr>
          <w:rFonts w:asciiTheme="majorHAnsi" w:hAnsiTheme="majorHAnsi" w:cstheme="majorHAnsi"/>
          <w:b/>
          <w:bCs/>
          <w:i/>
          <w:iCs/>
          <w:sz w:val="22"/>
          <w:szCs w:val="22"/>
        </w:rPr>
        <w:t>Sample Transport to Laboratory</w:t>
      </w:r>
    </w:p>
    <w:p w14:paraId="297EC4BE" w14:textId="77777777" w:rsidR="00525521" w:rsidRPr="00525521" w:rsidRDefault="00525521" w:rsidP="0025696C">
      <w:pPr>
        <w:rPr>
          <w:rFonts w:asciiTheme="majorHAnsi" w:hAnsiTheme="majorHAnsi" w:cstheme="majorHAnsi"/>
          <w:b/>
          <w:bCs/>
          <w:i/>
          <w:iCs/>
          <w:sz w:val="22"/>
          <w:szCs w:val="22"/>
        </w:rPr>
      </w:pPr>
    </w:p>
    <w:p w14:paraId="266968F2" w14:textId="77777777" w:rsidR="00C6013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Send samples to the laboratory by first class post (or equivalent) to arrive within 48 hours of collection. If any delay is anticipated, store samples chilled – ideally frozen if suitable facilities are available. Packaging must comply with relevant postal regulations for biological samples (UN3373).</w:t>
      </w:r>
    </w:p>
    <w:p w14:paraId="50A4A2D0" w14:textId="7D970A0C" w:rsidR="0025696C" w:rsidRPr="00C6013C" w:rsidRDefault="0025696C" w:rsidP="0025696C">
      <w:pPr>
        <w:rPr>
          <w:rFonts w:asciiTheme="majorHAnsi" w:hAnsiTheme="majorHAnsi" w:cstheme="majorHAnsi"/>
          <w:sz w:val="22"/>
          <w:szCs w:val="22"/>
        </w:rPr>
      </w:pPr>
      <w:r w:rsidRPr="00525521">
        <w:rPr>
          <w:rFonts w:asciiTheme="majorHAnsi" w:hAnsiTheme="majorHAnsi" w:cstheme="majorHAnsi"/>
          <w:b/>
          <w:bCs/>
          <w:i/>
          <w:iCs/>
          <w:sz w:val="22"/>
          <w:szCs w:val="22"/>
        </w:rPr>
        <w:lastRenderedPageBreak/>
        <w:t>Description of Suggested Method</w:t>
      </w:r>
    </w:p>
    <w:p w14:paraId="3439B3BC" w14:textId="75D343D0" w:rsidR="00525521" w:rsidRPr="00525521" w:rsidRDefault="00525521" w:rsidP="0025696C">
      <w:pPr>
        <w:rPr>
          <w:rFonts w:asciiTheme="majorHAnsi" w:hAnsiTheme="majorHAnsi" w:cstheme="majorHAnsi"/>
          <w:i/>
          <w:iCs/>
          <w:sz w:val="22"/>
          <w:szCs w:val="22"/>
        </w:rPr>
      </w:pPr>
    </w:p>
    <w:p w14:paraId="622C5C03" w14:textId="2442D0E6" w:rsidR="00525521" w:rsidRPr="00525521" w:rsidRDefault="0025696C" w:rsidP="0025696C">
      <w:pPr>
        <w:rPr>
          <w:rFonts w:asciiTheme="majorHAnsi" w:hAnsiTheme="majorHAnsi" w:cstheme="majorHAnsi"/>
          <w:sz w:val="22"/>
          <w:szCs w:val="22"/>
        </w:rPr>
      </w:pPr>
      <w:r w:rsidRPr="00525521">
        <w:rPr>
          <w:rFonts w:asciiTheme="majorHAnsi" w:hAnsiTheme="majorHAnsi" w:cstheme="majorHAnsi"/>
          <w:noProof/>
          <w:sz w:val="22"/>
          <w:szCs w:val="22"/>
          <w:lang w:eastAsia="en-GB"/>
        </w:rPr>
        <w:t xml:space="preserve">The metabolite 2-butoxyacetic acid is analysed as an indicator of exposure to 2-butoxyethanol.  Urine samples are spiked with isotope-labelled internal standard, acid hydrolysed, derivatised with dry acetone and pentafluorobenzyl bromide  and analysed by capillary  GCMS. The GCMS is operated in the negative ion chemical ionisation  mode  with  selected ion monitoring. </w:t>
      </w:r>
      <w:r w:rsidRPr="00525521">
        <w:rPr>
          <w:rFonts w:asciiTheme="majorHAnsi" w:hAnsiTheme="majorHAnsi" w:cstheme="majorHAnsi"/>
          <w:sz w:val="22"/>
          <w:szCs w:val="22"/>
        </w:rPr>
        <w:t>Other methods have been reported by different laboratories and they can be found in the published scientific literature.</w:t>
      </w:r>
    </w:p>
    <w:p w14:paraId="7B9EEF4F" w14:textId="3254CB37" w:rsidR="00525521" w:rsidRDefault="00525521" w:rsidP="0025696C">
      <w:pPr>
        <w:rPr>
          <w:rFonts w:asciiTheme="majorHAnsi" w:hAnsiTheme="majorHAnsi" w:cstheme="majorHAnsi"/>
          <w:b/>
          <w:bCs/>
          <w:i/>
          <w:iCs/>
          <w:sz w:val="22"/>
          <w:szCs w:val="22"/>
        </w:rPr>
      </w:pPr>
      <w:r w:rsidRPr="00525521">
        <w:rPr>
          <w:rFonts w:asciiTheme="majorHAnsi" w:hAnsiTheme="majorHAnsi" w:cstheme="majorHAnsi"/>
          <w:noProof/>
          <w:sz w:val="22"/>
          <w:szCs w:val="22"/>
        </w:rPr>
        <mc:AlternateContent>
          <mc:Choice Requires="wps">
            <w:drawing>
              <wp:anchor distT="0" distB="0" distL="114300" distR="114300" simplePos="0" relativeHeight="251656192" behindDoc="0" locked="0" layoutInCell="1" allowOverlap="1" wp14:anchorId="343DC2D3" wp14:editId="28DE7881">
                <wp:simplePos x="0" y="0"/>
                <wp:positionH relativeFrom="margin">
                  <wp:align>left</wp:align>
                </wp:positionH>
                <wp:positionV relativeFrom="paragraph">
                  <wp:posOffset>267335</wp:posOffset>
                </wp:positionV>
                <wp:extent cx="4638675" cy="2143125"/>
                <wp:effectExtent l="0" t="0" r="28575" b="2857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2143125"/>
                        </a:xfrm>
                        <a:prstGeom prst="rect">
                          <a:avLst/>
                        </a:prstGeom>
                        <a:solidFill>
                          <a:srgbClr val="FFFFFF"/>
                        </a:solidFill>
                        <a:ln w="9525">
                          <a:solidFill>
                            <a:srgbClr val="000000"/>
                          </a:solidFill>
                          <a:miter lim="800000"/>
                          <a:headEnd/>
                          <a:tailEnd/>
                        </a:ln>
                      </wps:spPr>
                      <wps:txbx>
                        <w:txbxContent>
                          <w:p w14:paraId="5E4F095E" w14:textId="24B10BA4" w:rsidR="0025696C"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 xml:space="preserve">Analytical Evaluation </w:t>
                            </w:r>
                          </w:p>
                          <w:p w14:paraId="37184BF9" w14:textId="77777777" w:rsidR="00525521" w:rsidRPr="00525521" w:rsidRDefault="00525521" w:rsidP="0025696C">
                            <w:pPr>
                              <w:rPr>
                                <w:rFonts w:asciiTheme="majorHAnsi" w:hAnsiTheme="majorHAnsi" w:cstheme="majorHAnsi"/>
                                <w:b/>
                                <w:bCs/>
                                <w:sz w:val="22"/>
                                <w:szCs w:val="22"/>
                              </w:rPr>
                            </w:pPr>
                          </w:p>
                          <w:p w14:paraId="19273B49" w14:textId="66C189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Limit of Quantitation: 10</w:t>
                            </w:r>
                            <w:r w:rsidR="00064F3D">
                              <w:rPr>
                                <w:rFonts w:asciiTheme="majorHAnsi" w:hAnsiTheme="majorHAnsi" w:cstheme="majorHAnsi"/>
                                <w:sz w:val="22"/>
                                <w:szCs w:val="22"/>
                              </w:rPr>
                              <w:t xml:space="preserve"> </w:t>
                            </w:r>
                            <w:r w:rsidRPr="00525521">
                              <w:rPr>
                                <w:rFonts w:asciiTheme="majorHAnsi" w:hAnsiTheme="majorHAnsi" w:cstheme="majorHAnsi"/>
                                <w:sz w:val="22"/>
                                <w:szCs w:val="22"/>
                              </w:rPr>
                              <w:t>µmol/L (approx. 0.8 µmol/mol creatinine)</w:t>
                            </w:r>
                          </w:p>
                          <w:p w14:paraId="111A14B9"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Calibration range: Typically 0-1000 µmol/L</w:t>
                            </w:r>
                          </w:p>
                          <w:p w14:paraId="3099AF56"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Precision:</w:t>
                            </w:r>
                          </w:p>
                          <w:p w14:paraId="12E83D94" w14:textId="29C37FC3"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within  day &lt;12%  RSD at 600</w:t>
                            </w:r>
                            <w:r w:rsidR="00064F3D">
                              <w:rPr>
                                <w:rFonts w:asciiTheme="majorHAnsi" w:hAnsiTheme="majorHAnsi" w:cstheme="majorHAnsi"/>
                                <w:sz w:val="22"/>
                                <w:szCs w:val="22"/>
                              </w:rPr>
                              <w:t xml:space="preserve"> </w:t>
                            </w:r>
                            <w:r w:rsidRPr="00525521">
                              <w:rPr>
                                <w:rFonts w:asciiTheme="majorHAnsi" w:hAnsiTheme="majorHAnsi" w:cstheme="majorHAnsi"/>
                                <w:sz w:val="22"/>
                                <w:szCs w:val="22"/>
                              </w:rPr>
                              <w:t>µmol/L</w:t>
                            </w:r>
                          </w:p>
                          <w:p w14:paraId="728F073E" w14:textId="4C091409"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day to day &lt;17%  RSD at 600</w:t>
                            </w:r>
                            <w:r w:rsidR="00064F3D">
                              <w:rPr>
                                <w:rFonts w:asciiTheme="majorHAnsi" w:hAnsiTheme="majorHAnsi" w:cstheme="majorHAnsi"/>
                                <w:sz w:val="22"/>
                                <w:szCs w:val="22"/>
                              </w:rPr>
                              <w:t xml:space="preserve"> </w:t>
                            </w:r>
                            <w:r w:rsidRPr="00525521">
                              <w:rPr>
                                <w:rFonts w:asciiTheme="majorHAnsi" w:hAnsiTheme="majorHAnsi" w:cstheme="majorHAnsi"/>
                                <w:sz w:val="22"/>
                                <w:szCs w:val="22"/>
                              </w:rPr>
                              <w:t>µmol/L</w:t>
                            </w:r>
                          </w:p>
                          <w:p w14:paraId="7415C35E"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Sample stability: 2 days at ambient temperature, &gt;3 months at -20°C</w:t>
                            </w:r>
                          </w:p>
                          <w:p w14:paraId="01F4D215"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Analytical Interferences: None known </w:t>
                            </w:r>
                          </w:p>
                          <w:p w14:paraId="282C1685"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Quality assurance: GEQAS (www.g-equas.de).</w:t>
                            </w:r>
                          </w:p>
                        </w:txbxContent>
                      </wps:txbx>
                      <wps:bodyPr rot="0" vertOverflow="clip" horzOverflow="clip"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43DC2D3" id="Text Box 2" o:spid="_x0000_s1028" type="#_x0000_t202" style="position:absolute;margin-left:0;margin-top:21.05pt;width:365.25pt;height:168.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">
                <v:textbox>
                  <w:txbxContent>
                    <w:p w14:paraId="5E4F095E" w14:textId="24B10BA4" w:rsidR="0025696C"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 xml:space="preserve">Analytical Evaluation </w:t>
                      </w:r>
                    </w:p>
                    <w:p w14:paraId="37184BF9" w14:textId="77777777" w:rsidR="00525521" w:rsidRPr="00525521" w:rsidRDefault="00525521" w:rsidP="0025696C">
                      <w:pPr>
                        <w:rPr>
                          <w:rFonts w:asciiTheme="majorHAnsi" w:hAnsiTheme="majorHAnsi" w:cstheme="majorHAnsi"/>
                          <w:b/>
                          <w:bCs/>
                          <w:sz w:val="22"/>
                          <w:szCs w:val="22"/>
                        </w:rPr>
                      </w:pPr>
                    </w:p>
                    <w:p w14:paraId="19273B49" w14:textId="66C189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Limit of Quantitation: 10</w:t>
                      </w:r>
                      <w:r w:rsidR="00064F3D">
                        <w:rPr>
                          <w:rFonts w:asciiTheme="majorHAnsi" w:hAnsiTheme="majorHAnsi" w:cstheme="majorHAnsi"/>
                          <w:sz w:val="22"/>
                          <w:szCs w:val="22"/>
                        </w:rPr>
                        <w:t xml:space="preserve"> </w:t>
                      </w:r>
                      <w:r w:rsidRPr="00525521">
                        <w:rPr>
                          <w:rFonts w:asciiTheme="majorHAnsi" w:hAnsiTheme="majorHAnsi" w:cstheme="majorHAnsi"/>
                          <w:sz w:val="22"/>
                          <w:szCs w:val="22"/>
                        </w:rPr>
                        <w:t>µmol/L (approx. 0.8 µmol/mol creatinine)</w:t>
                      </w:r>
                    </w:p>
                    <w:p w14:paraId="111A14B9"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Calibration range: Typically 0-1000 µmol/L</w:t>
                      </w:r>
                    </w:p>
                    <w:p w14:paraId="3099AF56"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Precision:</w:t>
                      </w:r>
                    </w:p>
                    <w:p w14:paraId="12E83D94" w14:textId="29C37FC3"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within  day &lt;12%  RSD at 600</w:t>
                      </w:r>
                      <w:r w:rsidR="00064F3D">
                        <w:rPr>
                          <w:rFonts w:asciiTheme="majorHAnsi" w:hAnsiTheme="majorHAnsi" w:cstheme="majorHAnsi"/>
                          <w:sz w:val="22"/>
                          <w:szCs w:val="22"/>
                        </w:rPr>
                        <w:t xml:space="preserve"> </w:t>
                      </w:r>
                      <w:r w:rsidRPr="00525521">
                        <w:rPr>
                          <w:rFonts w:asciiTheme="majorHAnsi" w:hAnsiTheme="majorHAnsi" w:cstheme="majorHAnsi"/>
                          <w:sz w:val="22"/>
                          <w:szCs w:val="22"/>
                        </w:rPr>
                        <w:t>µmol/L</w:t>
                      </w:r>
                    </w:p>
                    <w:p w14:paraId="728F073E" w14:textId="4C091409"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day to day &lt;17%  RSD at 600</w:t>
                      </w:r>
                      <w:r w:rsidR="00064F3D">
                        <w:rPr>
                          <w:rFonts w:asciiTheme="majorHAnsi" w:hAnsiTheme="majorHAnsi" w:cstheme="majorHAnsi"/>
                          <w:sz w:val="22"/>
                          <w:szCs w:val="22"/>
                        </w:rPr>
                        <w:t xml:space="preserve"> </w:t>
                      </w:r>
                      <w:r w:rsidRPr="00525521">
                        <w:rPr>
                          <w:rFonts w:asciiTheme="majorHAnsi" w:hAnsiTheme="majorHAnsi" w:cstheme="majorHAnsi"/>
                          <w:sz w:val="22"/>
                          <w:szCs w:val="22"/>
                        </w:rPr>
                        <w:t>µmol/L</w:t>
                      </w:r>
                    </w:p>
                    <w:p w14:paraId="7415C35E"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Sample stability: 2 days at ambient temperature, &gt;3 months at -20°C</w:t>
                      </w:r>
                    </w:p>
                    <w:p w14:paraId="01F4D215"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Analytical Interferences: None known </w:t>
                      </w:r>
                    </w:p>
                    <w:p w14:paraId="282C1685"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Quality assurance: GEQAS (www.g-equas.de).</w:t>
                      </w:r>
                    </w:p>
                  </w:txbxContent>
                </v:textbox>
                <w10:wrap type="topAndBottom" anchorx="margin"/>
              </v:shape>
            </w:pict>
          </mc:Fallback>
        </mc:AlternateContent>
      </w:r>
    </w:p>
    <w:p w14:paraId="6700DB37" w14:textId="77777777" w:rsidR="00C6013C" w:rsidRDefault="00C6013C" w:rsidP="0025696C">
      <w:pPr>
        <w:rPr>
          <w:rFonts w:asciiTheme="majorHAnsi" w:hAnsiTheme="majorHAnsi" w:cstheme="majorHAnsi"/>
          <w:b/>
          <w:bCs/>
          <w:i/>
          <w:iCs/>
          <w:sz w:val="22"/>
          <w:szCs w:val="22"/>
        </w:rPr>
      </w:pPr>
    </w:p>
    <w:p w14:paraId="5E6D87E9" w14:textId="6719E206" w:rsidR="0025696C" w:rsidRDefault="0025696C" w:rsidP="0025696C">
      <w:pPr>
        <w:rPr>
          <w:rFonts w:asciiTheme="majorHAnsi" w:hAnsiTheme="majorHAnsi" w:cstheme="majorHAnsi"/>
          <w:b/>
          <w:bCs/>
          <w:i/>
          <w:iCs/>
          <w:sz w:val="22"/>
          <w:szCs w:val="22"/>
        </w:rPr>
      </w:pPr>
      <w:r w:rsidRPr="00525521">
        <w:rPr>
          <w:rFonts w:asciiTheme="majorHAnsi" w:hAnsiTheme="majorHAnsi" w:cstheme="majorHAnsi"/>
          <w:b/>
          <w:bCs/>
          <w:i/>
          <w:iCs/>
          <w:sz w:val="22"/>
          <w:szCs w:val="22"/>
        </w:rPr>
        <w:t>When to take a sample?</w:t>
      </w:r>
    </w:p>
    <w:p w14:paraId="641E10D3" w14:textId="77777777" w:rsidR="00525521" w:rsidRPr="00525521" w:rsidRDefault="00525521" w:rsidP="0025696C">
      <w:pPr>
        <w:rPr>
          <w:rFonts w:asciiTheme="majorHAnsi" w:hAnsiTheme="majorHAnsi" w:cstheme="majorHAnsi"/>
          <w:b/>
          <w:bCs/>
          <w:i/>
          <w:iCs/>
          <w:sz w:val="22"/>
          <w:szCs w:val="22"/>
        </w:rPr>
      </w:pPr>
    </w:p>
    <w:p w14:paraId="2B03EDC2" w14:textId="77777777" w:rsidR="0025696C" w:rsidRPr="00525521" w:rsidRDefault="0025696C" w:rsidP="0025696C">
      <w:pPr>
        <w:rPr>
          <w:rFonts w:asciiTheme="majorHAnsi" w:hAnsiTheme="majorHAnsi" w:cstheme="majorHAnsi"/>
          <w:sz w:val="22"/>
          <w:szCs w:val="22"/>
        </w:rPr>
      </w:pPr>
      <w:bookmarkStart w:id="0" w:name="_Hlk95989111"/>
      <w:r w:rsidRPr="00525521">
        <w:rPr>
          <w:rFonts w:asciiTheme="majorHAnsi" w:hAnsiTheme="majorHAnsi" w:cstheme="majorHAnsi"/>
          <w:sz w:val="22"/>
          <w:szCs w:val="22"/>
        </w:rPr>
        <w:t xml:space="preserve">Elimination half-life is a measure of the rate of removal of a substance that has been taken into the body. It helps to identify when it is best to take a sample following potential exposure and indicates the potential ‘exposure window’ that will be reflected by a result. </w:t>
      </w:r>
    </w:p>
    <w:bookmarkEnd w:id="0"/>
    <w:p w14:paraId="50C4E578"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The half-life of </w:t>
      </w:r>
      <w:proofErr w:type="spellStart"/>
      <w:r w:rsidRPr="00525521">
        <w:rPr>
          <w:rFonts w:asciiTheme="majorHAnsi" w:hAnsiTheme="majorHAnsi" w:cstheme="majorHAnsi"/>
          <w:sz w:val="22"/>
          <w:szCs w:val="22"/>
        </w:rPr>
        <w:t>butoxyacetic</w:t>
      </w:r>
      <w:proofErr w:type="spellEnd"/>
      <w:r w:rsidRPr="00525521">
        <w:rPr>
          <w:rFonts w:asciiTheme="majorHAnsi" w:hAnsiTheme="majorHAnsi" w:cstheme="majorHAnsi"/>
          <w:sz w:val="22"/>
          <w:szCs w:val="22"/>
        </w:rPr>
        <w:t xml:space="preserve"> acid (the metabolite of 2-butoxyethanol) is approximately 6-7 hours. Samples should be taken at the end of the shift, preferably after several days’ work if there is the potential for skin uptake.</w:t>
      </w:r>
    </w:p>
    <w:p w14:paraId="2CA41D10" w14:textId="77777777" w:rsidR="0025696C" w:rsidRPr="00525521" w:rsidRDefault="0025696C" w:rsidP="0025696C">
      <w:pPr>
        <w:rPr>
          <w:rFonts w:asciiTheme="majorHAnsi" w:hAnsiTheme="majorHAnsi" w:cstheme="majorHAnsi"/>
          <w:sz w:val="22"/>
          <w:szCs w:val="22"/>
        </w:rPr>
      </w:pPr>
    </w:p>
    <w:p w14:paraId="2EFBBAF1" w14:textId="07142AAC" w:rsidR="0025696C"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Other Information</w:t>
      </w:r>
    </w:p>
    <w:p w14:paraId="2BB5CB8C" w14:textId="77777777" w:rsidR="00525521" w:rsidRPr="00525521" w:rsidRDefault="00525521" w:rsidP="0025696C">
      <w:pPr>
        <w:rPr>
          <w:rFonts w:asciiTheme="majorHAnsi" w:hAnsiTheme="majorHAnsi" w:cstheme="majorHAnsi"/>
          <w:b/>
          <w:bCs/>
          <w:sz w:val="22"/>
          <w:szCs w:val="22"/>
        </w:rPr>
      </w:pPr>
    </w:p>
    <w:p w14:paraId="0A3F7803" w14:textId="259851D1" w:rsidR="0025696C" w:rsidRPr="00C6013C" w:rsidRDefault="0025696C" w:rsidP="0025696C">
      <w:pPr>
        <w:rPr>
          <w:rFonts w:asciiTheme="majorHAnsi" w:hAnsiTheme="majorHAnsi" w:cstheme="majorHAnsi"/>
          <w:b/>
          <w:bCs/>
          <w:i/>
          <w:iCs/>
          <w:sz w:val="22"/>
          <w:szCs w:val="22"/>
        </w:rPr>
      </w:pPr>
      <w:r w:rsidRPr="00C6013C">
        <w:rPr>
          <w:rFonts w:asciiTheme="majorHAnsi" w:hAnsiTheme="majorHAnsi" w:cstheme="majorHAnsi"/>
          <w:b/>
          <w:bCs/>
          <w:i/>
          <w:iCs/>
          <w:sz w:val="22"/>
          <w:szCs w:val="22"/>
        </w:rPr>
        <w:t>Confounding factors</w:t>
      </w:r>
    </w:p>
    <w:p w14:paraId="14271CB8" w14:textId="77777777" w:rsidR="00C6013C" w:rsidRDefault="00C6013C" w:rsidP="0025696C">
      <w:pPr>
        <w:rPr>
          <w:rFonts w:asciiTheme="majorHAnsi" w:hAnsiTheme="majorHAnsi" w:cstheme="majorHAnsi"/>
          <w:sz w:val="22"/>
          <w:szCs w:val="22"/>
        </w:rPr>
      </w:pPr>
    </w:p>
    <w:p w14:paraId="3FEBB101" w14:textId="0AD1228C" w:rsidR="0025696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Consumption of ethanol will delay excretion as the same enzyme pathway is used to metabolise both chemicals. Co-exposure to 2-butoxyethyl acetate will increase urinary levels as it is also metabolised to 2-butoxyacetic acid.</w:t>
      </w:r>
    </w:p>
    <w:p w14:paraId="3A871D7D" w14:textId="77777777" w:rsidR="00525521" w:rsidRPr="00525521" w:rsidRDefault="00525521" w:rsidP="0025696C">
      <w:pPr>
        <w:rPr>
          <w:rFonts w:asciiTheme="majorHAnsi" w:hAnsiTheme="majorHAnsi" w:cstheme="majorHAnsi"/>
          <w:sz w:val="22"/>
          <w:szCs w:val="22"/>
        </w:rPr>
      </w:pPr>
    </w:p>
    <w:p w14:paraId="4FF249C1" w14:textId="6C832A29" w:rsidR="0025696C" w:rsidRPr="00C6013C" w:rsidRDefault="0025696C" w:rsidP="0025696C">
      <w:pPr>
        <w:rPr>
          <w:rFonts w:asciiTheme="majorHAnsi" w:hAnsiTheme="majorHAnsi" w:cstheme="majorHAnsi"/>
          <w:b/>
          <w:bCs/>
          <w:i/>
          <w:iCs/>
          <w:sz w:val="22"/>
          <w:szCs w:val="22"/>
        </w:rPr>
      </w:pPr>
      <w:r w:rsidRPr="00C6013C">
        <w:rPr>
          <w:rFonts w:asciiTheme="majorHAnsi" w:hAnsiTheme="majorHAnsi" w:cstheme="majorHAnsi"/>
          <w:b/>
          <w:bCs/>
          <w:i/>
          <w:iCs/>
          <w:sz w:val="22"/>
          <w:szCs w:val="22"/>
        </w:rPr>
        <w:t>Unexposed level</w:t>
      </w:r>
    </w:p>
    <w:p w14:paraId="0C5554CF" w14:textId="77777777" w:rsidR="00C6013C" w:rsidRDefault="00C6013C" w:rsidP="0025696C">
      <w:pPr>
        <w:rPr>
          <w:rFonts w:asciiTheme="majorHAnsi" w:hAnsiTheme="majorHAnsi" w:cstheme="majorHAnsi"/>
          <w:sz w:val="22"/>
          <w:szCs w:val="22"/>
        </w:rPr>
      </w:pPr>
    </w:p>
    <w:p w14:paraId="1D045B84" w14:textId="5B3A91E4" w:rsidR="0025696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Below the quantitation limit.</w:t>
      </w:r>
    </w:p>
    <w:p w14:paraId="70FBCA2B" w14:textId="77777777" w:rsidR="00C6013C" w:rsidRPr="00525521" w:rsidRDefault="00C6013C" w:rsidP="0025696C">
      <w:pPr>
        <w:rPr>
          <w:rFonts w:asciiTheme="majorHAnsi" w:hAnsiTheme="majorHAnsi" w:cstheme="majorHAnsi"/>
          <w:sz w:val="22"/>
          <w:szCs w:val="22"/>
        </w:rPr>
      </w:pPr>
    </w:p>
    <w:p w14:paraId="4B3787BB" w14:textId="77777777" w:rsidR="0025696C" w:rsidRPr="00525521" w:rsidRDefault="0025696C" w:rsidP="0025696C">
      <w:pPr>
        <w:rPr>
          <w:rFonts w:asciiTheme="majorHAnsi" w:hAnsiTheme="majorHAnsi" w:cstheme="majorHAnsi"/>
          <w:b/>
          <w:bCs/>
          <w:sz w:val="22"/>
          <w:szCs w:val="22"/>
        </w:rPr>
      </w:pPr>
      <w:r w:rsidRPr="00525521">
        <w:rPr>
          <w:rFonts w:asciiTheme="majorHAnsi" w:hAnsiTheme="majorHAnsi" w:cstheme="majorHAnsi"/>
          <w:b/>
          <w:bCs/>
          <w:sz w:val="22"/>
          <w:szCs w:val="22"/>
        </w:rPr>
        <w:t>Creatinine correction is advised</w:t>
      </w:r>
    </w:p>
    <w:p w14:paraId="2C5EF44A" w14:textId="79C1BDA2" w:rsidR="0025696C" w:rsidRDefault="0025696C" w:rsidP="0025696C">
      <w:pPr>
        <w:rPr>
          <w:rFonts w:asciiTheme="majorHAnsi" w:hAnsiTheme="majorHAnsi" w:cstheme="majorHAnsi"/>
          <w:sz w:val="22"/>
          <w:szCs w:val="22"/>
        </w:rPr>
      </w:pPr>
    </w:p>
    <w:p w14:paraId="1AE5ABDC" w14:textId="77777777" w:rsidR="00C6013C" w:rsidRDefault="00C6013C" w:rsidP="0025696C">
      <w:pPr>
        <w:rPr>
          <w:rFonts w:asciiTheme="majorHAnsi" w:hAnsiTheme="majorHAnsi" w:cstheme="majorHAnsi"/>
          <w:sz w:val="22"/>
          <w:szCs w:val="22"/>
        </w:rPr>
      </w:pPr>
    </w:p>
    <w:p w14:paraId="51CE8F2D" w14:textId="58539E1D" w:rsidR="0025696C" w:rsidRPr="00C6013C" w:rsidRDefault="0025696C" w:rsidP="0025696C">
      <w:pPr>
        <w:rPr>
          <w:rFonts w:asciiTheme="majorHAnsi" w:hAnsiTheme="majorHAnsi" w:cstheme="majorHAnsi"/>
          <w:b/>
          <w:bCs/>
          <w:i/>
          <w:iCs/>
          <w:sz w:val="22"/>
          <w:szCs w:val="22"/>
        </w:rPr>
      </w:pPr>
      <w:r w:rsidRPr="00C6013C">
        <w:rPr>
          <w:rFonts w:asciiTheme="majorHAnsi" w:hAnsiTheme="majorHAnsi" w:cstheme="majorHAnsi"/>
          <w:b/>
          <w:bCs/>
          <w:i/>
          <w:iCs/>
          <w:sz w:val="22"/>
          <w:szCs w:val="22"/>
        </w:rPr>
        <w:lastRenderedPageBreak/>
        <w:t>Interpretation</w:t>
      </w:r>
    </w:p>
    <w:p w14:paraId="5AC4993B" w14:textId="77777777" w:rsidR="00525521" w:rsidRPr="00525521" w:rsidRDefault="00525521" w:rsidP="0025696C">
      <w:pPr>
        <w:rPr>
          <w:rFonts w:asciiTheme="majorHAnsi" w:hAnsiTheme="majorHAnsi" w:cstheme="majorHAnsi"/>
          <w:b/>
          <w:bCs/>
          <w:sz w:val="22"/>
          <w:szCs w:val="22"/>
        </w:rPr>
      </w:pPr>
    </w:p>
    <w:p w14:paraId="7C579872"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Urinary 2-butoxyacetic acid results reflect systematic exposure to 2-butoxyethanol that may have entered the body by inhalation or through the skin. If biological monitoring results are greater than the guidance value, it does not necessarily mean that ill health will occur, but it does mean that exposure is not being adequately controlled.  An elevated result should be re-tested as soon as possible to help establish whether it represents ongoing workplace exposure or a ‘one-off’ event. If necessary, employers will need to look at current work practices to see how they can be improved to reduce exposure.</w:t>
      </w:r>
    </w:p>
    <w:p w14:paraId="47804B38" w14:textId="77777777" w:rsidR="0025696C" w:rsidRPr="00525521" w:rsidRDefault="0025696C" w:rsidP="0025696C">
      <w:pPr>
        <w:rPr>
          <w:rFonts w:asciiTheme="majorHAnsi" w:hAnsiTheme="majorHAnsi" w:cstheme="majorHAnsi"/>
          <w:b/>
          <w:bCs/>
          <w:sz w:val="22"/>
          <w:szCs w:val="22"/>
        </w:rPr>
      </w:pPr>
    </w:p>
    <w:p w14:paraId="1FD27C49" w14:textId="77FECAEB" w:rsidR="0025696C" w:rsidRPr="00C6013C" w:rsidRDefault="0025696C" w:rsidP="0025696C">
      <w:pPr>
        <w:rPr>
          <w:rFonts w:asciiTheme="majorHAnsi" w:hAnsiTheme="majorHAnsi" w:cstheme="majorHAnsi"/>
          <w:b/>
          <w:bCs/>
          <w:i/>
          <w:iCs/>
          <w:sz w:val="22"/>
          <w:szCs w:val="22"/>
        </w:rPr>
      </w:pPr>
      <w:r w:rsidRPr="00C6013C">
        <w:rPr>
          <w:rFonts w:asciiTheme="majorHAnsi" w:hAnsiTheme="majorHAnsi" w:cstheme="majorHAnsi"/>
          <w:b/>
          <w:bCs/>
          <w:i/>
          <w:iCs/>
          <w:sz w:val="22"/>
          <w:szCs w:val="22"/>
        </w:rPr>
        <w:t>Further information</w:t>
      </w:r>
    </w:p>
    <w:p w14:paraId="04BB9BD3" w14:textId="77777777" w:rsidR="00C6013C" w:rsidRPr="00525521" w:rsidRDefault="00C6013C" w:rsidP="0025696C">
      <w:pPr>
        <w:rPr>
          <w:rFonts w:asciiTheme="majorHAnsi" w:hAnsiTheme="majorHAnsi" w:cstheme="majorHAnsi"/>
          <w:b/>
          <w:bCs/>
          <w:sz w:val="22"/>
          <w:szCs w:val="22"/>
        </w:rPr>
      </w:pPr>
    </w:p>
    <w:p w14:paraId="68F6C74C" w14:textId="77777777" w:rsidR="0025696C" w:rsidRPr="00525521" w:rsidRDefault="0025696C" w:rsidP="0025696C">
      <w:pPr>
        <w:rPr>
          <w:rStyle w:val="Hyperlink"/>
          <w:rFonts w:asciiTheme="majorHAnsi" w:hAnsiTheme="majorHAnsi" w:cstheme="majorHAnsi"/>
          <w:sz w:val="22"/>
          <w:szCs w:val="22"/>
        </w:rPr>
      </w:pPr>
      <w:r w:rsidRPr="00525521">
        <w:rPr>
          <w:rFonts w:asciiTheme="majorHAnsi" w:hAnsiTheme="majorHAnsi" w:cstheme="majorHAnsi"/>
          <w:sz w:val="22"/>
          <w:szCs w:val="22"/>
        </w:rPr>
        <w:t xml:space="preserve">EH40 List of Approved Workplace Exposure Limits </w:t>
      </w:r>
      <w:hyperlink r:id="rId8" w:history="1">
        <w:r w:rsidRPr="00525521">
          <w:rPr>
            <w:rStyle w:val="Hyperlink"/>
            <w:rFonts w:asciiTheme="majorHAnsi" w:hAnsiTheme="majorHAnsi" w:cstheme="majorHAnsi"/>
            <w:sz w:val="22"/>
            <w:szCs w:val="22"/>
          </w:rPr>
          <w:t>http://www.hse.gov.uk/pubns/books/eh40.htm</w:t>
        </w:r>
      </w:hyperlink>
    </w:p>
    <w:p w14:paraId="5E489316" w14:textId="77777777" w:rsidR="0025696C" w:rsidRPr="00525521"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 xml:space="preserve">Biological Monitoring: A tool for helping to assess workplace exposure (August 2021). Published by British Occupational Hygiene Society (www.bohs.org). </w:t>
      </w:r>
      <w:hyperlink r:id="rId9" w:history="1">
        <w:r w:rsidRPr="00525521">
          <w:rPr>
            <w:rStyle w:val="Hyperlink"/>
            <w:rFonts w:asciiTheme="majorHAnsi" w:hAnsiTheme="majorHAnsi" w:cstheme="majorHAnsi"/>
            <w:sz w:val="22"/>
            <w:szCs w:val="22"/>
          </w:rPr>
          <w:t>BOHS-Biological-Monitoring-A-tool-for-helping-to-assess-workplace-exposure-rebranded.pdf</w:t>
        </w:r>
      </w:hyperlink>
    </w:p>
    <w:p w14:paraId="213FA316" w14:textId="2C55AA45" w:rsidR="0025696C" w:rsidRDefault="0025696C" w:rsidP="0025696C">
      <w:pPr>
        <w:rPr>
          <w:rFonts w:asciiTheme="majorHAnsi" w:hAnsiTheme="majorHAnsi" w:cstheme="majorHAnsi"/>
          <w:sz w:val="22"/>
          <w:szCs w:val="22"/>
        </w:rPr>
      </w:pPr>
      <w:r w:rsidRPr="00525521">
        <w:rPr>
          <w:rFonts w:asciiTheme="majorHAnsi" w:hAnsiTheme="majorHAnsi" w:cstheme="majorHAnsi"/>
          <w:sz w:val="22"/>
          <w:szCs w:val="22"/>
        </w:rPr>
        <w:t>Jones, K. and Cocker, J., 2003. A human exposure study to investigate biological monitoring methods for 2-butoxyethanol. Biomarkers, 8(5), pp.360-370.</w:t>
      </w:r>
    </w:p>
    <w:p w14:paraId="6D71F0E1" w14:textId="713307B9" w:rsidR="00C6013C" w:rsidRPr="00525521" w:rsidRDefault="00C6013C" w:rsidP="0025696C">
      <w:pPr>
        <w:rPr>
          <w:rFonts w:asciiTheme="majorHAnsi" w:hAnsiTheme="majorHAnsi" w:cstheme="majorHAnsi"/>
          <w:sz w:val="22"/>
          <w:szCs w:val="22"/>
        </w:rPr>
      </w:pPr>
      <w:r w:rsidRPr="0000724B">
        <w:rPr>
          <w:rFonts w:asciiTheme="majorHAnsi" w:hAnsiTheme="majorHAnsi" w:cstheme="majorHAnsi"/>
          <w:noProof/>
          <w:sz w:val="22"/>
          <w:szCs w:val="22"/>
          <w:highlight w:val="yellow"/>
          <w:lang w:eastAsia="en-GB"/>
        </w:rPr>
        <mc:AlternateContent>
          <mc:Choice Requires="wps">
            <w:drawing>
              <wp:anchor distT="0" distB="0" distL="114300" distR="114300" simplePos="0" relativeHeight="251661312" behindDoc="0" locked="0" layoutInCell="1" allowOverlap="1" wp14:anchorId="14B1C66F" wp14:editId="4DBC460F">
                <wp:simplePos x="0" y="0"/>
                <wp:positionH relativeFrom="margin">
                  <wp:align>right</wp:align>
                </wp:positionH>
                <wp:positionV relativeFrom="paragraph">
                  <wp:posOffset>293370</wp:posOffset>
                </wp:positionV>
                <wp:extent cx="5715000" cy="1724025"/>
                <wp:effectExtent l="0" t="0" r="19050" b="2857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724025"/>
                        </a:xfrm>
                        <a:prstGeom prst="rect">
                          <a:avLst/>
                        </a:prstGeom>
                        <a:solidFill>
                          <a:srgbClr val="FFFFFF"/>
                        </a:solidFill>
                        <a:ln w="9525">
                          <a:solidFill>
                            <a:srgbClr val="000000"/>
                          </a:solidFill>
                          <a:miter lim="800000"/>
                          <a:headEnd/>
                          <a:tailEnd/>
                        </a:ln>
                      </wps:spPr>
                      <wps:txbx>
                        <w:txbxContent>
                          <w:p w14:paraId="064C6210" w14:textId="77777777" w:rsidR="00C6013C"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B5AA487" w14:textId="77777777" w:rsidR="00C6013C" w:rsidRPr="0093432D" w:rsidRDefault="00C6013C" w:rsidP="00C6013C">
                            <w:pPr>
                              <w:rPr>
                                <w:rFonts w:asciiTheme="majorHAnsi" w:hAnsiTheme="majorHAnsi" w:cstheme="majorHAnsi"/>
                                <w:sz w:val="22"/>
                                <w:szCs w:val="22"/>
                              </w:rPr>
                            </w:pPr>
                          </w:p>
                          <w:p w14:paraId="1F66A909" w14:textId="77777777" w:rsidR="00C6013C" w:rsidRPr="0093432D"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406F7784" w14:textId="77777777" w:rsidR="00C6013C" w:rsidRPr="0093432D"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0F48D41B" w14:textId="77777777" w:rsidR="00C6013C" w:rsidRPr="0093432D"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0203 028 3383</w:t>
                            </w:r>
                          </w:p>
                          <w:p w14:paraId="77FDB86B" w14:textId="77777777" w:rsidR="00C6013C" w:rsidRPr="0093432D" w:rsidRDefault="00C6013C" w:rsidP="00C6013C">
                            <w:pPr>
                              <w:rPr>
                                <w:rFonts w:asciiTheme="majorHAnsi" w:hAnsiTheme="majorHAnsi" w:cstheme="majorHAnsi"/>
                                <w:sz w:val="22"/>
                                <w:szCs w:val="22"/>
                              </w:rPr>
                            </w:pPr>
                          </w:p>
                          <w:p w14:paraId="5B98CBF1" w14:textId="77777777" w:rsidR="00C6013C" w:rsidRPr="0093432D" w:rsidRDefault="00C6013C" w:rsidP="00C6013C">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0FD4CC1F" w14:textId="77777777" w:rsidR="00C6013C" w:rsidRPr="0093432D" w:rsidRDefault="00C6013C" w:rsidP="00C6013C">
                            <w:pPr>
                              <w:rPr>
                                <w:rFonts w:asciiTheme="majorHAnsi" w:hAnsiTheme="majorHAnsi" w:cstheme="majorHAnsi"/>
                                <w:b/>
                                <w:bCs/>
                                <w:sz w:val="22"/>
                                <w:szCs w:val="22"/>
                              </w:rPr>
                            </w:pPr>
                          </w:p>
                          <w:p w14:paraId="71A7867E" w14:textId="77777777" w:rsidR="00C6013C" w:rsidRPr="0093432D" w:rsidRDefault="00B72C93" w:rsidP="00C6013C">
                            <w:pPr>
                              <w:rPr>
                                <w:rFonts w:asciiTheme="majorHAnsi" w:hAnsiTheme="majorHAnsi" w:cstheme="majorHAnsi"/>
                                <w:sz w:val="22"/>
                                <w:szCs w:val="22"/>
                              </w:rPr>
                            </w:pPr>
                            <w:hyperlink r:id="rId10" w:history="1">
                              <w:r w:rsidR="00C6013C" w:rsidRPr="007536AD">
                                <w:rPr>
                                  <w:rStyle w:val="Hyperlink"/>
                                  <w:rFonts w:asciiTheme="majorHAnsi" w:hAnsiTheme="majorHAnsi" w:cstheme="majorHAnsi"/>
                                  <w:sz w:val="22"/>
                                  <w:szCs w:val="22"/>
                                </w:rPr>
                                <w:t>https://www.hsl.gov.uk/online-ordering/analytical-services-and-assays/biological-monitoring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1C66F" id="_x0000_s1029" type="#_x0000_t202" style="position:absolute;margin-left:398.8pt;margin-top:23.1pt;width:450pt;height:135.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">
                <v:textbox>
                  <w:txbxContent>
                    <w:p w14:paraId="064C6210" w14:textId="77777777" w:rsidR="00C6013C"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For further advice, please contact us:</w:t>
                      </w:r>
                    </w:p>
                    <w:p w14:paraId="3B5AA487" w14:textId="77777777" w:rsidR="00C6013C" w:rsidRPr="0093432D" w:rsidRDefault="00C6013C" w:rsidP="00C6013C">
                      <w:pPr>
                        <w:rPr>
                          <w:rFonts w:asciiTheme="majorHAnsi" w:hAnsiTheme="majorHAnsi" w:cstheme="majorHAnsi"/>
                          <w:sz w:val="22"/>
                          <w:szCs w:val="22"/>
                        </w:rPr>
                      </w:pPr>
                    </w:p>
                    <w:p w14:paraId="1F66A909" w14:textId="77777777" w:rsidR="00C6013C" w:rsidRPr="0093432D"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 xml:space="preserve">Sample Registration, HSE, </w:t>
                      </w:r>
                      <w:proofErr w:type="spellStart"/>
                      <w:r w:rsidRPr="0093432D">
                        <w:rPr>
                          <w:rFonts w:asciiTheme="majorHAnsi" w:hAnsiTheme="majorHAnsi" w:cstheme="majorHAnsi"/>
                          <w:sz w:val="22"/>
                          <w:szCs w:val="22"/>
                        </w:rPr>
                        <w:t>Harpur</w:t>
                      </w:r>
                      <w:proofErr w:type="spellEnd"/>
                      <w:r w:rsidRPr="0093432D">
                        <w:rPr>
                          <w:rFonts w:asciiTheme="majorHAnsi" w:hAnsiTheme="majorHAnsi" w:cstheme="majorHAnsi"/>
                          <w:sz w:val="22"/>
                          <w:szCs w:val="22"/>
                        </w:rPr>
                        <w:t xml:space="preserve"> Hill, Buxton. SK17 9JN. </w:t>
                      </w:r>
                    </w:p>
                    <w:p w14:paraId="406F7784" w14:textId="77777777" w:rsidR="00C6013C" w:rsidRPr="0093432D"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registration.sample@hse.gov.uk</w:t>
                      </w:r>
                    </w:p>
                    <w:p w14:paraId="0F48D41B" w14:textId="77777777" w:rsidR="00C6013C" w:rsidRPr="0093432D" w:rsidRDefault="00C6013C" w:rsidP="00C6013C">
                      <w:pPr>
                        <w:rPr>
                          <w:rFonts w:asciiTheme="majorHAnsi" w:hAnsiTheme="majorHAnsi" w:cstheme="majorHAnsi"/>
                          <w:sz w:val="22"/>
                          <w:szCs w:val="22"/>
                        </w:rPr>
                      </w:pPr>
                      <w:r w:rsidRPr="0093432D">
                        <w:rPr>
                          <w:rFonts w:asciiTheme="majorHAnsi" w:hAnsiTheme="majorHAnsi" w:cstheme="majorHAnsi"/>
                          <w:sz w:val="22"/>
                          <w:szCs w:val="22"/>
                        </w:rPr>
                        <w:t>0203 028 3383</w:t>
                      </w:r>
                    </w:p>
                    <w:p w14:paraId="77FDB86B" w14:textId="77777777" w:rsidR="00C6013C" w:rsidRPr="0093432D" w:rsidRDefault="00C6013C" w:rsidP="00C6013C">
                      <w:pPr>
                        <w:rPr>
                          <w:rFonts w:asciiTheme="majorHAnsi" w:hAnsiTheme="majorHAnsi" w:cstheme="majorHAnsi"/>
                          <w:sz w:val="22"/>
                          <w:szCs w:val="22"/>
                        </w:rPr>
                      </w:pPr>
                    </w:p>
                    <w:p w14:paraId="5B98CBF1" w14:textId="77777777" w:rsidR="00C6013C" w:rsidRPr="0093432D" w:rsidRDefault="00C6013C" w:rsidP="00C6013C">
                      <w:pPr>
                        <w:rPr>
                          <w:rFonts w:asciiTheme="majorHAnsi" w:hAnsiTheme="majorHAnsi" w:cstheme="majorHAnsi"/>
                          <w:b/>
                          <w:bCs/>
                          <w:sz w:val="22"/>
                          <w:szCs w:val="22"/>
                        </w:rPr>
                      </w:pPr>
                      <w:r w:rsidRPr="0093432D">
                        <w:rPr>
                          <w:rFonts w:asciiTheme="majorHAnsi" w:hAnsiTheme="majorHAnsi" w:cstheme="majorHAnsi"/>
                          <w:b/>
                          <w:bCs/>
                          <w:sz w:val="22"/>
                          <w:szCs w:val="22"/>
                        </w:rPr>
                        <w:t>Biological Monitoring at HSE</w:t>
                      </w:r>
                    </w:p>
                    <w:p w14:paraId="0FD4CC1F" w14:textId="77777777" w:rsidR="00C6013C" w:rsidRPr="0093432D" w:rsidRDefault="00C6013C" w:rsidP="00C6013C">
                      <w:pPr>
                        <w:rPr>
                          <w:rFonts w:asciiTheme="majorHAnsi" w:hAnsiTheme="majorHAnsi" w:cstheme="majorHAnsi"/>
                          <w:b/>
                          <w:bCs/>
                          <w:sz w:val="22"/>
                          <w:szCs w:val="22"/>
                        </w:rPr>
                      </w:pPr>
                    </w:p>
                    <w:p w14:paraId="71A7867E" w14:textId="77777777" w:rsidR="00C6013C" w:rsidRPr="0093432D" w:rsidRDefault="00B72C93" w:rsidP="00C6013C">
                      <w:pPr>
                        <w:rPr>
                          <w:rFonts w:asciiTheme="majorHAnsi" w:hAnsiTheme="majorHAnsi" w:cstheme="majorHAnsi"/>
                          <w:sz w:val="22"/>
                          <w:szCs w:val="22"/>
                        </w:rPr>
                      </w:pPr>
                      <w:hyperlink r:id="rId11" w:history="1">
                        <w:r w:rsidR="00C6013C" w:rsidRPr="007536AD">
                          <w:rPr>
                            <w:rStyle w:val="Hyperlink"/>
                            <w:rFonts w:asciiTheme="majorHAnsi" w:hAnsiTheme="majorHAnsi" w:cstheme="majorHAnsi"/>
                            <w:sz w:val="22"/>
                            <w:szCs w:val="22"/>
                          </w:rPr>
                          <w:t>https://www.hsl.gov.uk/online-ordering/analytical-services-and-assays/biological-monitoring</w:t>
                        </w:r>
                      </w:hyperlink>
                    </w:p>
                  </w:txbxContent>
                </v:textbox>
                <w10:wrap type="topAndBottom" anchorx="margin"/>
              </v:shape>
            </w:pict>
          </mc:Fallback>
        </mc:AlternateContent>
      </w:r>
    </w:p>
    <w:p w14:paraId="216052A5" w14:textId="5B1A7278" w:rsidR="0025696C" w:rsidRPr="00525521" w:rsidRDefault="0025696C" w:rsidP="0025696C">
      <w:pPr>
        <w:rPr>
          <w:rFonts w:asciiTheme="majorHAnsi" w:hAnsiTheme="majorHAnsi" w:cstheme="majorHAnsi"/>
          <w:sz w:val="22"/>
          <w:szCs w:val="22"/>
        </w:rPr>
      </w:pPr>
    </w:p>
    <w:p w14:paraId="32379DCE" w14:textId="54202B89" w:rsidR="0025696C" w:rsidRPr="009E2D03" w:rsidRDefault="0025696C" w:rsidP="009E2D03">
      <w:pPr>
        <w:pStyle w:val="Footer"/>
        <w:jc w:val="center"/>
        <w:rPr>
          <w:rFonts w:asciiTheme="majorHAnsi" w:hAnsiTheme="majorHAnsi" w:cstheme="majorHAnsi"/>
          <w:b/>
          <w:bCs/>
          <w:color w:val="990033"/>
          <w:sz w:val="32"/>
          <w:szCs w:val="32"/>
          <w:u w:val="single"/>
        </w:rPr>
      </w:pPr>
    </w:p>
    <w:sectPr w:rsidR="0025696C" w:rsidRPr="009E2D0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24B9" w14:textId="77777777" w:rsidR="00A23A85" w:rsidRDefault="00A23A85" w:rsidP="00A23A85">
      <w:r>
        <w:separator/>
      </w:r>
    </w:p>
  </w:endnote>
  <w:endnote w:type="continuationSeparator" w:id="0">
    <w:p w14:paraId="20050009" w14:textId="77777777" w:rsidR="00A23A85" w:rsidRDefault="00A23A85" w:rsidP="00A2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675"/>
      <w:gridCol w:w="351"/>
    </w:tblGrid>
    <w:tr w:rsidR="00584465" w14:paraId="255E236D" w14:textId="77777777">
      <w:trPr>
        <w:jc w:val="right"/>
      </w:trPr>
      <w:tc>
        <w:tcPr>
          <w:tcW w:w="4795" w:type="dxa"/>
          <w:vAlign w:val="center"/>
        </w:tcPr>
        <w:sdt>
          <w:sdtPr>
            <w:rPr>
              <w:rFonts w:ascii="Calibri" w:hAnsi="Calibri" w:cs="Calibri"/>
              <w:color w:val="2F2F2F"/>
            </w:rPr>
            <w:alias w:val="Author"/>
            <w:tag w:val=""/>
            <w:id w:val="1534539408"/>
            <w:placeholder>
              <w:docPart w:val="7FB572F00BD640CDA77D1F2C57AD5011"/>
            </w:placeholder>
            <w:dataBinding w:prefixMappings="xmlns:ns0='http://purl.org/dc/elements/1.1/' xmlns:ns1='http://schemas.openxmlformats.org/package/2006/metadata/core-properties' " w:xpath="/ns1:coreProperties[1]/ns0:creator[1]" w:storeItemID="{6C3C8BC8-F283-45AE-878A-BAB7291924A1}"/>
            <w:text/>
          </w:sdtPr>
          <w:sdtEndPr/>
          <w:sdtContent>
            <w:p w14:paraId="7F5CD2F8" w14:textId="1F92FC4D" w:rsidR="00584465" w:rsidRDefault="001A423C" w:rsidP="00584465">
              <w:pPr>
                <w:pStyle w:val="Header"/>
                <w:rPr>
                  <w:caps/>
                  <w:color w:val="000000" w:themeColor="text1"/>
                </w:rPr>
              </w:pPr>
              <w:r w:rsidRPr="0000724B">
                <w:rPr>
                  <w:rFonts w:ascii="Calibri" w:hAnsi="Calibri" w:cs="Calibri"/>
                  <w:color w:val="2F2F2F"/>
                </w:rPr>
                <w:t>_____________________________________________________________________</w:t>
              </w:r>
              <w:r w:rsidR="00F67DD1">
                <w:rPr>
                  <w:rFonts w:ascii="Calibri" w:hAnsi="Calibri" w:cs="Calibri"/>
                  <w:color w:val="2F2F2F"/>
                </w:rPr>
                <w:t>_</w:t>
              </w:r>
              <w:r w:rsidR="00584465" w:rsidRPr="0000724B">
                <w:rPr>
                  <w:rFonts w:ascii="Calibri" w:hAnsi="Calibri" w:cs="Calibri"/>
                  <w:color w:val="2F2F2F"/>
                </w:rPr>
                <w:t>Biological Monitoring Team, Health &amp; Safety Executive, Harpur Hill, Buxton, Derbyshire, SK17 9JN</w:t>
              </w:r>
            </w:p>
          </w:sdtContent>
        </w:sdt>
      </w:tc>
      <w:tc>
        <w:tcPr>
          <w:tcW w:w="250" w:type="pct"/>
          <w:shd w:val="clear" w:color="auto" w:fill="C0504D" w:themeFill="accent2"/>
          <w:vAlign w:val="center"/>
        </w:tcPr>
        <w:p w14:paraId="271680F6" w14:textId="77777777" w:rsidR="00584465" w:rsidRDefault="0058446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0831DA">
            <w:rPr>
              <w:noProof/>
              <w:color w:val="FFFFFF" w:themeColor="background1"/>
            </w:rPr>
            <w:t>2</w:t>
          </w:r>
          <w:r>
            <w:rPr>
              <w:noProof/>
              <w:color w:val="FFFFFF" w:themeColor="background1"/>
            </w:rPr>
            <w:fldChar w:fldCharType="end"/>
          </w:r>
        </w:p>
      </w:tc>
    </w:tr>
  </w:tbl>
  <w:p w14:paraId="2589EEE8" w14:textId="37096B0E" w:rsidR="00A23A85" w:rsidRDefault="00A23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63505" w14:textId="77777777" w:rsidR="00A23A85" w:rsidRDefault="00A23A85" w:rsidP="00A23A85">
      <w:r>
        <w:separator/>
      </w:r>
    </w:p>
  </w:footnote>
  <w:footnote w:type="continuationSeparator" w:id="0">
    <w:p w14:paraId="26DB5524" w14:textId="77777777" w:rsidR="00A23A85" w:rsidRDefault="00A23A85" w:rsidP="00A23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7496C" w14:textId="5C285E0A" w:rsidR="00A03926" w:rsidRDefault="00A03926">
    <w:pPr>
      <w:pStyle w:val="Header"/>
      <w:rPr>
        <w:color w:val="990033"/>
        <w:u w:val="single"/>
      </w:rPr>
    </w:pPr>
    <w:r w:rsidRPr="00296DC1">
      <w:rPr>
        <w:noProof/>
        <w:highlight w:val="yellow"/>
        <w:lang w:eastAsia="en-GB"/>
      </w:rPr>
      <w:drawing>
        <wp:anchor distT="0" distB="0" distL="114300" distR="114300" simplePos="0" relativeHeight="251659264" behindDoc="1" locked="0" layoutInCell="1" allowOverlap="1" wp14:anchorId="63672337" wp14:editId="11939B82">
          <wp:simplePos x="0" y="0"/>
          <wp:positionH relativeFrom="margin">
            <wp:posOffset>4140835</wp:posOffset>
          </wp:positionH>
          <wp:positionV relativeFrom="paragraph">
            <wp:posOffset>5080</wp:posOffset>
          </wp:positionV>
          <wp:extent cx="2000250" cy="405055"/>
          <wp:effectExtent l="0" t="0" r="0" b="0"/>
          <wp:wrapTight wrapText="bothSides">
            <wp:wrapPolygon edited="0">
              <wp:start x="206" y="0"/>
              <wp:lineTo x="0" y="13224"/>
              <wp:lineTo x="0" y="20345"/>
              <wp:lineTo x="21394" y="20345"/>
              <wp:lineTo x="21394" y="0"/>
              <wp:lineTo x="206" y="0"/>
            </wp:wrapPolygon>
          </wp:wrapTight>
          <wp:docPr id="4" name="Picture 4" descr="HSE Research and Guid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SE Research and Guidance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0250" cy="405055"/>
                  </a:xfrm>
                  <a:prstGeom prst="rect">
                    <a:avLst/>
                  </a:prstGeom>
                </pic:spPr>
              </pic:pic>
            </a:graphicData>
          </a:graphic>
          <wp14:sizeRelH relativeFrom="page">
            <wp14:pctWidth>0</wp14:pctWidth>
          </wp14:sizeRelH>
          <wp14:sizeRelV relativeFrom="page">
            <wp14:pctHeight>0</wp14:pctHeight>
          </wp14:sizeRelV>
        </wp:anchor>
      </w:drawing>
    </w:r>
  </w:p>
  <w:p w14:paraId="1DC0302B" w14:textId="540B9A39" w:rsidR="00A03926" w:rsidRDefault="00A03926" w:rsidP="00A03926">
    <w:pPr>
      <w:pStyle w:val="Header"/>
      <w:rPr>
        <w:rFonts w:ascii="Arial" w:hAnsi="Arial" w:cs="Arial"/>
        <w:color w:val="990033"/>
        <w:sz w:val="36"/>
        <w:szCs w:val="36"/>
        <w:u w:val="single"/>
      </w:rPr>
    </w:pPr>
  </w:p>
  <w:p w14:paraId="1083B09A" w14:textId="04ED442E" w:rsidR="00A23A85" w:rsidRPr="0000724B" w:rsidRDefault="00A03926" w:rsidP="00A03926">
    <w:pPr>
      <w:pStyle w:val="Header"/>
      <w:rPr>
        <w:rFonts w:asciiTheme="majorHAnsi" w:hAnsiTheme="majorHAnsi" w:cstheme="majorHAnsi"/>
        <w:b/>
        <w:bCs/>
        <w:color w:val="990033"/>
        <w:sz w:val="36"/>
        <w:szCs w:val="36"/>
      </w:rPr>
    </w:pPr>
    <w:r w:rsidRPr="0000724B">
      <w:rPr>
        <w:rFonts w:asciiTheme="majorHAnsi" w:hAnsiTheme="majorHAnsi" w:cstheme="majorHAnsi"/>
        <w:b/>
        <w:bCs/>
        <w:color w:val="990033"/>
        <w:sz w:val="36"/>
        <w:szCs w:val="36"/>
      </w:rPr>
      <w:t>Biological Monitoring Guidance Values</w:t>
    </w:r>
  </w:p>
  <w:p w14:paraId="5C3C2C99" w14:textId="2CFE22BB" w:rsidR="00A23A85" w:rsidRDefault="00A23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A42F3"/>
    <w:multiLevelType w:val="hybridMultilevel"/>
    <w:tmpl w:val="ED14E1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0"/>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A85"/>
    <w:rsid w:val="0000724B"/>
    <w:rsid w:val="00064F3D"/>
    <w:rsid w:val="000831DA"/>
    <w:rsid w:val="000F183E"/>
    <w:rsid w:val="001A423C"/>
    <w:rsid w:val="0025696C"/>
    <w:rsid w:val="00264522"/>
    <w:rsid w:val="003A41BE"/>
    <w:rsid w:val="0040537F"/>
    <w:rsid w:val="00525521"/>
    <w:rsid w:val="00584465"/>
    <w:rsid w:val="00647712"/>
    <w:rsid w:val="007536AD"/>
    <w:rsid w:val="00804D3E"/>
    <w:rsid w:val="008566DB"/>
    <w:rsid w:val="0093432D"/>
    <w:rsid w:val="009D662C"/>
    <w:rsid w:val="009E2D03"/>
    <w:rsid w:val="00A03926"/>
    <w:rsid w:val="00A23A85"/>
    <w:rsid w:val="00B551A1"/>
    <w:rsid w:val="00C6013C"/>
    <w:rsid w:val="00C846D1"/>
    <w:rsid w:val="00C94AF7"/>
    <w:rsid w:val="00D42677"/>
    <w:rsid w:val="00DC1D45"/>
    <w:rsid w:val="00EB405D"/>
    <w:rsid w:val="00F67D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219B5DA"/>
  <w15:docId w15:val="{E0D853A5-E499-4AF0-A561-F7B2BFCB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D45"/>
  </w:style>
  <w:style w:type="paragraph" w:styleId="Heading1">
    <w:name w:val="heading 1"/>
    <w:basedOn w:val="Normal"/>
    <w:next w:val="Normal"/>
    <w:link w:val="Heading1Char"/>
    <w:uiPriority w:val="9"/>
    <w:qFormat/>
    <w:rsid w:val="00DC1D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1D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1D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1D45"/>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DC1D45"/>
    <w:pPr>
      <w:ind w:left="720"/>
      <w:contextualSpacing/>
    </w:pPr>
  </w:style>
  <w:style w:type="paragraph" w:styleId="Header">
    <w:name w:val="header"/>
    <w:basedOn w:val="Normal"/>
    <w:link w:val="HeaderChar"/>
    <w:uiPriority w:val="99"/>
    <w:unhideWhenUsed/>
    <w:rsid w:val="00A23A85"/>
    <w:pPr>
      <w:tabs>
        <w:tab w:val="center" w:pos="4513"/>
        <w:tab w:val="right" w:pos="9026"/>
      </w:tabs>
    </w:pPr>
  </w:style>
  <w:style w:type="character" w:customStyle="1" w:styleId="HeaderChar">
    <w:name w:val="Header Char"/>
    <w:basedOn w:val="DefaultParagraphFont"/>
    <w:link w:val="Header"/>
    <w:uiPriority w:val="99"/>
    <w:rsid w:val="00A23A85"/>
  </w:style>
  <w:style w:type="paragraph" w:styleId="Footer">
    <w:name w:val="footer"/>
    <w:basedOn w:val="Normal"/>
    <w:link w:val="FooterChar"/>
    <w:uiPriority w:val="99"/>
    <w:unhideWhenUsed/>
    <w:rsid w:val="00A23A85"/>
    <w:pPr>
      <w:tabs>
        <w:tab w:val="center" w:pos="4513"/>
        <w:tab w:val="right" w:pos="9026"/>
      </w:tabs>
    </w:pPr>
  </w:style>
  <w:style w:type="character" w:customStyle="1" w:styleId="FooterChar">
    <w:name w:val="Footer Char"/>
    <w:basedOn w:val="DefaultParagraphFont"/>
    <w:link w:val="Footer"/>
    <w:uiPriority w:val="99"/>
    <w:rsid w:val="00A23A85"/>
  </w:style>
  <w:style w:type="paragraph" w:styleId="NoSpacing">
    <w:name w:val="No Spacing"/>
    <w:uiPriority w:val="1"/>
    <w:qFormat/>
    <w:rsid w:val="008566DB"/>
  </w:style>
  <w:style w:type="character" w:styleId="Hyperlink">
    <w:name w:val="Hyperlink"/>
    <w:basedOn w:val="DefaultParagraphFont"/>
    <w:uiPriority w:val="99"/>
    <w:unhideWhenUsed/>
    <w:rsid w:val="00264522"/>
    <w:rPr>
      <w:color w:val="0000FF" w:themeColor="hyperlink"/>
      <w:u w:val="single"/>
    </w:rPr>
  </w:style>
  <w:style w:type="character" w:styleId="FollowedHyperlink">
    <w:name w:val="FollowedHyperlink"/>
    <w:basedOn w:val="DefaultParagraphFont"/>
    <w:uiPriority w:val="99"/>
    <w:semiHidden/>
    <w:unhideWhenUsed/>
    <w:rsid w:val="0093432D"/>
    <w:rPr>
      <w:color w:val="800080" w:themeColor="followedHyperlink"/>
      <w:u w:val="single"/>
    </w:rPr>
  </w:style>
  <w:style w:type="character" w:customStyle="1" w:styleId="UnresolvedMention1">
    <w:name w:val="Unresolved Mention1"/>
    <w:basedOn w:val="DefaultParagraphFont"/>
    <w:uiPriority w:val="99"/>
    <w:semiHidden/>
    <w:unhideWhenUsed/>
    <w:rsid w:val="007536AD"/>
    <w:rPr>
      <w:color w:val="605E5C"/>
      <w:shd w:val="clear" w:color="auto" w:fill="E1DFDD"/>
    </w:rPr>
  </w:style>
  <w:style w:type="paragraph" w:styleId="BalloonText">
    <w:name w:val="Balloon Text"/>
    <w:basedOn w:val="Normal"/>
    <w:link w:val="BalloonTextChar"/>
    <w:uiPriority w:val="99"/>
    <w:semiHidden/>
    <w:unhideWhenUsed/>
    <w:rsid w:val="000831DA"/>
    <w:rPr>
      <w:rFonts w:ascii="Tahoma" w:hAnsi="Tahoma" w:cs="Tahoma"/>
      <w:sz w:val="16"/>
      <w:szCs w:val="16"/>
    </w:rPr>
  </w:style>
  <w:style w:type="character" w:customStyle="1" w:styleId="BalloonTextChar">
    <w:name w:val="Balloon Text Char"/>
    <w:basedOn w:val="DefaultParagraphFont"/>
    <w:link w:val="BalloonText"/>
    <w:uiPriority w:val="99"/>
    <w:semiHidden/>
    <w:rsid w:val="000831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86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pubns/books/eh40.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l.gov.uk/online-ordering/analytical-services-and-assays/biological-monitoring"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hsl.gov.uk/online-ordering/analytical-services-and-assays/biological-monitoring" TargetMode="External"/><Relationship Id="rId4" Type="http://schemas.openxmlformats.org/officeDocument/2006/relationships/settings" Target="settings.xml"/><Relationship Id="rId9" Type="http://schemas.openxmlformats.org/officeDocument/2006/relationships/hyperlink" Target="https://www.bohs.org/app/uploads/2021/08/BOHS-Biological-Monitoring-A-tool-for-helping-to-assess-workplace-exposure-rebranded.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B572F00BD640CDA77D1F2C57AD5011"/>
        <w:category>
          <w:name w:val="General"/>
          <w:gallery w:val="placeholder"/>
        </w:category>
        <w:types>
          <w:type w:val="bbPlcHdr"/>
        </w:types>
        <w:behaviors>
          <w:behavior w:val="content"/>
        </w:behaviors>
        <w:guid w:val="{946F7D17-EAB3-49FB-9A28-D1AB247FD72C}"/>
      </w:docPartPr>
      <w:docPartBody>
        <w:p w:rsidR="003A6657" w:rsidRDefault="00A1148C" w:rsidP="00A1148C">
          <w:pPr>
            <w:pStyle w:val="7FB572F00BD640CDA77D1F2C57AD5011"/>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48C"/>
    <w:rsid w:val="003A6657"/>
    <w:rsid w:val="00A1148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FB572F00BD640CDA77D1F2C57AD5011">
    <w:name w:val="7FB572F00BD640CDA77D1F2C57AD5011"/>
    <w:rsid w:val="00A11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0D29-3895-41FF-A6FE-AE5904F6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Biological Monitoring, Science Division, Health &amp; Safety Executive, Harpur Hill, Buxton, Derbyshire, SK17 9JN</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______________________________________________________________________Biological Monitoring Team, Health &amp; Safety Executive, Harpur Hill, Buxton, Derbyshire, SK17 9JN</dc:creator>
  <cp:keywords/>
  <dc:description/>
  <cp:lastModifiedBy>Kate Jones</cp:lastModifiedBy>
  <cp:revision>5</cp:revision>
  <dcterms:created xsi:type="dcterms:W3CDTF">2022-07-07T14:49:00Z</dcterms:created>
  <dcterms:modified xsi:type="dcterms:W3CDTF">2023-01-16T18:26:00Z</dcterms:modified>
</cp:coreProperties>
</file>