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22AB" w14:textId="219BBFD0" w:rsidR="008566DB" w:rsidRPr="003739E7" w:rsidRDefault="00993FBD" w:rsidP="009E2D03">
      <w:pPr>
        <w:pStyle w:val="Footer"/>
        <w:jc w:val="center"/>
        <w:rPr>
          <w:rFonts w:asciiTheme="majorHAnsi" w:hAnsiTheme="majorHAnsi" w:cstheme="majorHAnsi"/>
          <w:b/>
          <w:bCs/>
          <w:color w:val="990033"/>
          <w:sz w:val="32"/>
          <w:szCs w:val="32"/>
          <w:u w:val="single"/>
        </w:rPr>
      </w:pPr>
      <w:r w:rsidRPr="003739E7">
        <w:rPr>
          <w:rFonts w:asciiTheme="majorHAnsi" w:hAnsiTheme="majorHAnsi" w:cstheme="majorHAnsi"/>
          <w:b/>
          <w:bCs/>
          <w:color w:val="990033"/>
          <w:sz w:val="32"/>
          <w:szCs w:val="32"/>
          <w:u w:val="single"/>
        </w:rPr>
        <w:t>Isocyanates</w:t>
      </w:r>
    </w:p>
    <w:p w14:paraId="40AD36F3" w14:textId="5021D6CD" w:rsidR="00993FBD" w:rsidRPr="003739E7" w:rsidRDefault="00993FBD" w:rsidP="009E2D03">
      <w:pPr>
        <w:pStyle w:val="Footer"/>
        <w:jc w:val="center"/>
        <w:rPr>
          <w:rFonts w:asciiTheme="majorHAnsi" w:hAnsiTheme="majorHAnsi" w:cstheme="majorHAnsi"/>
          <w:b/>
          <w:bCs/>
          <w:color w:val="990033"/>
          <w:sz w:val="22"/>
          <w:szCs w:val="22"/>
          <w:u w:val="single"/>
        </w:rPr>
      </w:pPr>
    </w:p>
    <w:p w14:paraId="0338C6F1" w14:textId="161E707A"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Who is this guidance for?</w:t>
      </w:r>
    </w:p>
    <w:p w14:paraId="28CDC62C" w14:textId="77777777" w:rsidR="00993FBD" w:rsidRPr="003739E7" w:rsidRDefault="00993FBD" w:rsidP="00993FBD">
      <w:pPr>
        <w:rPr>
          <w:rFonts w:asciiTheme="majorHAnsi" w:hAnsiTheme="majorHAnsi" w:cstheme="majorHAnsi"/>
          <w:b/>
          <w:bCs/>
          <w:i/>
          <w:iCs/>
          <w:sz w:val="22"/>
          <w:szCs w:val="22"/>
        </w:rPr>
      </w:pPr>
    </w:p>
    <w:p w14:paraId="3434C792" w14:textId="212848B8" w:rsidR="00993FBD"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7707FFB3" w14:textId="2C317634" w:rsidR="003739E7" w:rsidRDefault="003739E7" w:rsidP="00993FBD">
      <w:pPr>
        <w:rPr>
          <w:rFonts w:asciiTheme="majorHAnsi" w:hAnsiTheme="majorHAnsi" w:cstheme="majorHAnsi"/>
          <w:sz w:val="22"/>
          <w:szCs w:val="22"/>
        </w:rPr>
      </w:pPr>
    </w:p>
    <w:p w14:paraId="7F38A973" w14:textId="3DE242BB" w:rsidR="003739E7" w:rsidRDefault="003739E7" w:rsidP="00993FBD">
      <w:pPr>
        <w:rPr>
          <w:rFonts w:asciiTheme="majorHAnsi" w:hAnsiTheme="majorHAnsi" w:cstheme="majorHAnsi"/>
          <w:sz w:val="22"/>
          <w:szCs w:val="22"/>
        </w:rPr>
      </w:pPr>
      <w:r w:rsidRPr="003739E7">
        <w:rPr>
          <w:rFonts w:asciiTheme="majorHAnsi" w:hAnsiTheme="majorHAnsi" w:cstheme="majorHAnsi"/>
          <w:noProof/>
          <w:sz w:val="22"/>
          <w:szCs w:val="22"/>
          <w:lang w:eastAsia="en-GB"/>
        </w:rPr>
        <mc:AlternateContent>
          <mc:Choice Requires="wps">
            <w:drawing>
              <wp:anchor distT="45720" distB="45720" distL="114300" distR="114300" simplePos="0" relativeHeight="251661312" behindDoc="0" locked="0" layoutInCell="1" allowOverlap="1" wp14:anchorId="0BB6655B" wp14:editId="55CE969F">
                <wp:simplePos x="0" y="0"/>
                <wp:positionH relativeFrom="margin">
                  <wp:posOffset>3816985</wp:posOffset>
                </wp:positionH>
                <wp:positionV relativeFrom="paragraph">
                  <wp:posOffset>5715</wp:posOffset>
                </wp:positionV>
                <wp:extent cx="22860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14:paraId="6DE48493" w14:textId="77777777"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Isocyanates</w:t>
                            </w:r>
                          </w:p>
                          <w:p w14:paraId="72BEEE90" w14:textId="7963A71F" w:rsidR="00993FBD"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Monitored by analysis of isocyanate metabolites in urine</w:t>
                            </w:r>
                          </w:p>
                          <w:p w14:paraId="7F0F5136" w14:textId="77777777" w:rsidR="003739E7" w:rsidRPr="003739E7" w:rsidRDefault="003739E7" w:rsidP="00993FBD">
                            <w:pPr>
                              <w:rPr>
                                <w:rFonts w:asciiTheme="majorHAnsi" w:hAnsiTheme="majorHAnsi" w:cstheme="majorHAnsi"/>
                                <w:sz w:val="22"/>
                                <w:szCs w:val="22"/>
                              </w:rPr>
                            </w:pPr>
                          </w:p>
                          <w:p w14:paraId="21D3118F"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b/>
                                <w:bCs/>
                                <w:sz w:val="22"/>
                                <w:szCs w:val="22"/>
                              </w:rPr>
                              <w:t>BMGV</w:t>
                            </w:r>
                            <w:r w:rsidRPr="003739E7">
                              <w:rPr>
                                <w:rFonts w:asciiTheme="majorHAnsi" w:hAnsiTheme="majorHAnsi" w:cstheme="majorHAnsi"/>
                                <w:sz w:val="22"/>
                                <w:szCs w:val="22"/>
                              </w:rPr>
                              <w:t>: 1µmol isocyanate-derived diamine/mol creatinine</w:t>
                            </w:r>
                          </w:p>
                          <w:p w14:paraId="39556F8B" w14:textId="77777777" w:rsidR="00993FBD" w:rsidRDefault="00993FBD" w:rsidP="00993F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6655B" id="_x0000_t202" coordsize="21600,21600" o:spt="202" path="m,l,21600r21600,l21600,xe">
                <v:stroke joinstyle="miter"/>
                <v:path gradientshapeok="t" o:connecttype="rect"/>
              </v:shapetype>
              <v:shape id="Text Box 2" o:spid="_x0000_s1026" type="#_x0000_t202" style="position:absolute;margin-left:300.55pt;margin-top:.45pt;width:18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">
                <v:textbox style="mso-fit-shape-to-text:t">
                  <w:txbxContent>
                    <w:p w14:paraId="6DE48493" w14:textId="77777777"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Isocyanates</w:t>
                      </w:r>
                    </w:p>
                    <w:p w14:paraId="72BEEE90" w14:textId="7963A71F" w:rsidR="00993FBD"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Monitored by analysis of isocyanate metabolites in urine</w:t>
                      </w:r>
                    </w:p>
                    <w:p w14:paraId="7F0F5136" w14:textId="77777777" w:rsidR="003739E7" w:rsidRPr="003739E7" w:rsidRDefault="003739E7" w:rsidP="00993FBD">
                      <w:pPr>
                        <w:rPr>
                          <w:rFonts w:asciiTheme="majorHAnsi" w:hAnsiTheme="majorHAnsi" w:cstheme="majorHAnsi"/>
                          <w:sz w:val="22"/>
                          <w:szCs w:val="22"/>
                        </w:rPr>
                      </w:pPr>
                    </w:p>
                    <w:p w14:paraId="21D3118F"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b/>
                          <w:bCs/>
                          <w:sz w:val="22"/>
                          <w:szCs w:val="22"/>
                        </w:rPr>
                        <w:t>BMGV</w:t>
                      </w:r>
                      <w:r w:rsidRPr="003739E7">
                        <w:rPr>
                          <w:rFonts w:asciiTheme="majorHAnsi" w:hAnsiTheme="majorHAnsi" w:cstheme="majorHAnsi"/>
                          <w:sz w:val="22"/>
                          <w:szCs w:val="22"/>
                        </w:rPr>
                        <w:t>: 1µmol isocyanate-derived diamine/mol creatinine</w:t>
                      </w:r>
                    </w:p>
                    <w:p w14:paraId="39556F8B" w14:textId="77777777" w:rsidR="00993FBD" w:rsidRDefault="00993FBD" w:rsidP="00993FBD"/>
                  </w:txbxContent>
                </v:textbox>
                <w10:wrap type="square" anchorx="margin"/>
              </v:shape>
            </w:pict>
          </mc:Fallback>
        </mc:AlternateContent>
      </w:r>
      <w:r w:rsidRPr="003739E7">
        <w:rPr>
          <w:rFonts w:asciiTheme="majorHAnsi" w:hAnsiTheme="majorHAnsi" w:cstheme="majorHAnsi"/>
          <w:i/>
          <w:iCs/>
          <w:noProof/>
          <w:sz w:val="22"/>
          <w:szCs w:val="22"/>
          <w:lang w:eastAsia="en-GB"/>
        </w:rPr>
        <mc:AlternateContent>
          <mc:Choice Requires="wps">
            <w:drawing>
              <wp:anchor distT="0" distB="0" distL="114300" distR="114300" simplePos="0" relativeHeight="251659264" behindDoc="0" locked="0" layoutInCell="1" allowOverlap="1" wp14:anchorId="13952B22" wp14:editId="50E53EE3">
                <wp:simplePos x="0" y="0"/>
                <wp:positionH relativeFrom="margin">
                  <wp:align>left</wp:align>
                </wp:positionH>
                <wp:positionV relativeFrom="paragraph">
                  <wp:posOffset>7620</wp:posOffset>
                </wp:positionV>
                <wp:extent cx="3762375" cy="2009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762375" cy="2009775"/>
                        </a:xfrm>
                        <a:prstGeom prst="rect">
                          <a:avLst/>
                        </a:prstGeom>
                        <a:solidFill>
                          <a:schemeClr val="lt1"/>
                        </a:solidFill>
                        <a:ln w="6350">
                          <a:solidFill>
                            <a:prstClr val="black"/>
                          </a:solidFill>
                        </a:ln>
                      </wps:spPr>
                      <wps:txbx>
                        <w:txbxContent>
                          <w:p w14:paraId="2E19E966" w14:textId="50113452"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Hazardous Substances:</w:t>
                            </w:r>
                          </w:p>
                          <w:p w14:paraId="3F110528" w14:textId="77777777" w:rsidR="00993FBD" w:rsidRPr="003739E7" w:rsidRDefault="00993FBD" w:rsidP="00993FBD">
                            <w:pPr>
                              <w:rPr>
                                <w:rFonts w:asciiTheme="majorHAnsi" w:hAnsiTheme="majorHAnsi" w:cstheme="majorHAnsi"/>
                                <w:b/>
                                <w:bCs/>
                                <w:sz w:val="22"/>
                                <w:szCs w:val="22"/>
                              </w:rPr>
                            </w:pPr>
                          </w:p>
                          <w:p w14:paraId="331BA919"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Hexamethylene diisocyanate (HDI) CAS number: 822-06-0</w:t>
                            </w:r>
                          </w:p>
                          <w:p w14:paraId="47330304"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Methylene diphenyl diisocyanate (MDI) CAS number: 101-68-8</w:t>
                            </w:r>
                          </w:p>
                          <w:p w14:paraId="0B078F9E"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Toluene diisocyanate (TDI) CAS number: 584-84-9</w:t>
                            </w:r>
                          </w:p>
                          <w:p w14:paraId="3C1D47BD" w14:textId="0AFFA16E" w:rsidR="00993FBD" w:rsidRPr="003739E7" w:rsidRDefault="00993FBD" w:rsidP="00993FBD">
                            <w:pPr>
                              <w:rPr>
                                <w:rFonts w:asciiTheme="majorHAnsi" w:hAnsiTheme="majorHAnsi" w:cstheme="majorHAnsi"/>
                                <w:sz w:val="22"/>
                                <w:szCs w:val="22"/>
                              </w:rPr>
                            </w:pPr>
                            <w:proofErr w:type="spellStart"/>
                            <w:r w:rsidRPr="003739E7">
                              <w:rPr>
                                <w:rFonts w:asciiTheme="majorHAnsi" w:hAnsiTheme="majorHAnsi" w:cstheme="majorHAnsi"/>
                                <w:sz w:val="22"/>
                                <w:szCs w:val="22"/>
                              </w:rPr>
                              <w:t>Isophorone</w:t>
                            </w:r>
                            <w:proofErr w:type="spellEnd"/>
                            <w:r w:rsidRPr="003739E7">
                              <w:rPr>
                                <w:rFonts w:asciiTheme="majorHAnsi" w:hAnsiTheme="majorHAnsi" w:cstheme="majorHAnsi"/>
                                <w:sz w:val="22"/>
                                <w:szCs w:val="22"/>
                              </w:rPr>
                              <w:t xml:space="preserve"> diisocyanate (IPDI) CAS number: 4098-71-9</w:t>
                            </w:r>
                          </w:p>
                          <w:p w14:paraId="0BE0C0E5" w14:textId="77777777" w:rsidR="00993FBD" w:rsidRPr="003739E7" w:rsidRDefault="00993FBD" w:rsidP="00993FBD">
                            <w:pPr>
                              <w:rPr>
                                <w:rFonts w:asciiTheme="majorHAnsi" w:hAnsiTheme="majorHAnsi" w:cstheme="majorHAnsi"/>
                                <w:sz w:val="22"/>
                                <w:szCs w:val="22"/>
                              </w:rPr>
                            </w:pPr>
                          </w:p>
                          <w:p w14:paraId="4A55DEFF" w14:textId="4854D30E"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Workplace Exposure Limits:</w:t>
                            </w:r>
                          </w:p>
                          <w:p w14:paraId="79318CF6" w14:textId="77777777" w:rsidR="00993FBD" w:rsidRPr="003739E7" w:rsidRDefault="00993FBD" w:rsidP="00993FBD">
                            <w:pPr>
                              <w:rPr>
                                <w:rFonts w:asciiTheme="majorHAnsi" w:hAnsiTheme="majorHAnsi" w:cstheme="majorHAnsi"/>
                                <w:b/>
                                <w:bCs/>
                                <w:sz w:val="22"/>
                                <w:szCs w:val="22"/>
                              </w:rPr>
                            </w:pPr>
                          </w:p>
                          <w:p w14:paraId="5B58C576"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8-hour TWA: 0.02mg/m</w:t>
                            </w:r>
                            <w:r w:rsidRPr="003739E7">
                              <w:rPr>
                                <w:rFonts w:asciiTheme="majorHAnsi" w:hAnsiTheme="majorHAnsi" w:cstheme="majorHAnsi"/>
                                <w:sz w:val="22"/>
                                <w:szCs w:val="22"/>
                                <w:vertAlign w:val="superscript"/>
                              </w:rPr>
                              <w:t>3</w:t>
                            </w:r>
                            <w:r w:rsidRPr="003739E7">
                              <w:rPr>
                                <w:rFonts w:asciiTheme="majorHAnsi" w:hAnsiTheme="majorHAnsi" w:cstheme="majorHAnsi"/>
                                <w:sz w:val="22"/>
                                <w:szCs w:val="22"/>
                              </w:rPr>
                              <w:t xml:space="preserve"> total -NCO</w:t>
                            </w:r>
                          </w:p>
                          <w:p w14:paraId="779C1E20"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15-minute STEL: 0.07mg/m</w:t>
                            </w:r>
                            <w:r w:rsidRPr="003739E7">
                              <w:rPr>
                                <w:rFonts w:asciiTheme="majorHAnsi" w:hAnsiTheme="majorHAnsi" w:cstheme="majorHAnsi"/>
                                <w:sz w:val="22"/>
                                <w:szCs w:val="22"/>
                                <w:vertAlign w:val="superscript"/>
                              </w:rPr>
                              <w:t>3</w:t>
                            </w:r>
                            <w:r w:rsidRPr="003739E7">
                              <w:rPr>
                                <w:rFonts w:asciiTheme="majorHAnsi" w:hAnsiTheme="majorHAnsi" w:cstheme="majorHAnsi"/>
                                <w:sz w:val="22"/>
                                <w:szCs w:val="22"/>
                              </w:rPr>
                              <w:t xml:space="preserve"> total -NCO</w:t>
                            </w:r>
                          </w:p>
                          <w:p w14:paraId="3B3C9ECC" w14:textId="77777777" w:rsidR="00993FBD" w:rsidRDefault="00993FBD" w:rsidP="00993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2B22" id="Text Box 1" o:spid="_x0000_s1027" type="#_x0000_t202" style="position:absolute;margin-left:0;margin-top:.6pt;width:296.25pt;height:15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" fillcolor="white [3201]" strokeweight=".5pt">
                <v:textbox>
                  <w:txbxContent>
                    <w:p w14:paraId="2E19E966" w14:textId="50113452"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Hazardous Substances:</w:t>
                      </w:r>
                    </w:p>
                    <w:p w14:paraId="3F110528" w14:textId="77777777" w:rsidR="00993FBD" w:rsidRPr="003739E7" w:rsidRDefault="00993FBD" w:rsidP="00993FBD">
                      <w:pPr>
                        <w:rPr>
                          <w:rFonts w:asciiTheme="majorHAnsi" w:hAnsiTheme="majorHAnsi" w:cstheme="majorHAnsi"/>
                          <w:b/>
                          <w:bCs/>
                          <w:sz w:val="22"/>
                          <w:szCs w:val="22"/>
                        </w:rPr>
                      </w:pPr>
                    </w:p>
                    <w:p w14:paraId="331BA919"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Hexamethylene diisocyanate (HDI) CAS number: 822-06-0</w:t>
                      </w:r>
                    </w:p>
                    <w:p w14:paraId="47330304"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Methylene diphenyl diisocyanate (MDI) CAS number: 101-68-8</w:t>
                      </w:r>
                    </w:p>
                    <w:p w14:paraId="0B078F9E"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Toluene diisocyanate (TDI) CAS number: 584-84-9</w:t>
                      </w:r>
                    </w:p>
                    <w:p w14:paraId="3C1D47BD" w14:textId="0AFFA16E" w:rsidR="00993FBD" w:rsidRPr="003739E7" w:rsidRDefault="00993FBD" w:rsidP="00993FBD">
                      <w:pPr>
                        <w:rPr>
                          <w:rFonts w:asciiTheme="majorHAnsi" w:hAnsiTheme="majorHAnsi" w:cstheme="majorHAnsi"/>
                          <w:sz w:val="22"/>
                          <w:szCs w:val="22"/>
                        </w:rPr>
                      </w:pPr>
                      <w:proofErr w:type="spellStart"/>
                      <w:r w:rsidRPr="003739E7">
                        <w:rPr>
                          <w:rFonts w:asciiTheme="majorHAnsi" w:hAnsiTheme="majorHAnsi" w:cstheme="majorHAnsi"/>
                          <w:sz w:val="22"/>
                          <w:szCs w:val="22"/>
                        </w:rPr>
                        <w:t>Isophorone</w:t>
                      </w:r>
                      <w:proofErr w:type="spellEnd"/>
                      <w:r w:rsidRPr="003739E7">
                        <w:rPr>
                          <w:rFonts w:asciiTheme="majorHAnsi" w:hAnsiTheme="majorHAnsi" w:cstheme="majorHAnsi"/>
                          <w:sz w:val="22"/>
                          <w:szCs w:val="22"/>
                        </w:rPr>
                        <w:t xml:space="preserve"> diisocyanate (IPDI) CAS number: 4098-71-9</w:t>
                      </w:r>
                    </w:p>
                    <w:p w14:paraId="0BE0C0E5" w14:textId="77777777" w:rsidR="00993FBD" w:rsidRPr="003739E7" w:rsidRDefault="00993FBD" w:rsidP="00993FBD">
                      <w:pPr>
                        <w:rPr>
                          <w:rFonts w:asciiTheme="majorHAnsi" w:hAnsiTheme="majorHAnsi" w:cstheme="majorHAnsi"/>
                          <w:sz w:val="22"/>
                          <w:szCs w:val="22"/>
                        </w:rPr>
                      </w:pPr>
                    </w:p>
                    <w:p w14:paraId="4A55DEFF" w14:textId="4854D30E"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Workplace Exposure Limits:</w:t>
                      </w:r>
                    </w:p>
                    <w:p w14:paraId="79318CF6" w14:textId="77777777" w:rsidR="00993FBD" w:rsidRPr="003739E7" w:rsidRDefault="00993FBD" w:rsidP="00993FBD">
                      <w:pPr>
                        <w:rPr>
                          <w:rFonts w:asciiTheme="majorHAnsi" w:hAnsiTheme="majorHAnsi" w:cstheme="majorHAnsi"/>
                          <w:b/>
                          <w:bCs/>
                          <w:sz w:val="22"/>
                          <w:szCs w:val="22"/>
                        </w:rPr>
                      </w:pPr>
                    </w:p>
                    <w:p w14:paraId="5B58C576"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8-hour TWA: 0.02mg/m</w:t>
                      </w:r>
                      <w:r w:rsidRPr="003739E7">
                        <w:rPr>
                          <w:rFonts w:asciiTheme="majorHAnsi" w:hAnsiTheme="majorHAnsi" w:cstheme="majorHAnsi"/>
                          <w:sz w:val="22"/>
                          <w:szCs w:val="22"/>
                          <w:vertAlign w:val="superscript"/>
                        </w:rPr>
                        <w:t>3</w:t>
                      </w:r>
                      <w:r w:rsidRPr="003739E7">
                        <w:rPr>
                          <w:rFonts w:asciiTheme="majorHAnsi" w:hAnsiTheme="majorHAnsi" w:cstheme="majorHAnsi"/>
                          <w:sz w:val="22"/>
                          <w:szCs w:val="22"/>
                        </w:rPr>
                        <w:t xml:space="preserve"> total -NCO</w:t>
                      </w:r>
                    </w:p>
                    <w:p w14:paraId="779C1E20"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15-minute STEL: 0.07mg/m</w:t>
                      </w:r>
                      <w:r w:rsidRPr="003739E7">
                        <w:rPr>
                          <w:rFonts w:asciiTheme="majorHAnsi" w:hAnsiTheme="majorHAnsi" w:cstheme="majorHAnsi"/>
                          <w:sz w:val="22"/>
                          <w:szCs w:val="22"/>
                          <w:vertAlign w:val="superscript"/>
                        </w:rPr>
                        <w:t>3</w:t>
                      </w:r>
                      <w:r w:rsidRPr="003739E7">
                        <w:rPr>
                          <w:rFonts w:asciiTheme="majorHAnsi" w:hAnsiTheme="majorHAnsi" w:cstheme="majorHAnsi"/>
                          <w:sz w:val="22"/>
                          <w:szCs w:val="22"/>
                        </w:rPr>
                        <w:t xml:space="preserve"> total -NCO</w:t>
                      </w:r>
                    </w:p>
                    <w:p w14:paraId="3B3C9ECC" w14:textId="77777777" w:rsidR="00993FBD" w:rsidRDefault="00993FBD" w:rsidP="00993FBD"/>
                  </w:txbxContent>
                </v:textbox>
                <w10:wrap anchorx="margin"/>
              </v:shape>
            </w:pict>
          </mc:Fallback>
        </mc:AlternateContent>
      </w:r>
    </w:p>
    <w:p w14:paraId="4237233D" w14:textId="071524B9" w:rsidR="003739E7" w:rsidRDefault="003739E7" w:rsidP="00993FBD">
      <w:pPr>
        <w:rPr>
          <w:rFonts w:asciiTheme="majorHAnsi" w:hAnsiTheme="majorHAnsi" w:cstheme="majorHAnsi"/>
          <w:sz w:val="22"/>
          <w:szCs w:val="22"/>
        </w:rPr>
      </w:pPr>
    </w:p>
    <w:p w14:paraId="026FCEBD" w14:textId="76AF94E5" w:rsidR="003739E7" w:rsidRDefault="003739E7" w:rsidP="00993FBD">
      <w:pPr>
        <w:rPr>
          <w:rFonts w:asciiTheme="majorHAnsi" w:hAnsiTheme="majorHAnsi" w:cstheme="majorHAnsi"/>
          <w:sz w:val="22"/>
          <w:szCs w:val="22"/>
        </w:rPr>
      </w:pPr>
    </w:p>
    <w:p w14:paraId="3873C89A" w14:textId="4AF65289" w:rsidR="003739E7" w:rsidRDefault="003739E7" w:rsidP="00993FBD">
      <w:pPr>
        <w:rPr>
          <w:rFonts w:asciiTheme="majorHAnsi" w:hAnsiTheme="majorHAnsi" w:cstheme="majorHAnsi"/>
          <w:sz w:val="22"/>
          <w:szCs w:val="22"/>
        </w:rPr>
      </w:pPr>
    </w:p>
    <w:p w14:paraId="52D6479A" w14:textId="4DD315E2" w:rsidR="003739E7" w:rsidRDefault="003739E7" w:rsidP="00993FBD">
      <w:pPr>
        <w:rPr>
          <w:rFonts w:asciiTheme="majorHAnsi" w:hAnsiTheme="majorHAnsi" w:cstheme="majorHAnsi"/>
          <w:sz w:val="22"/>
          <w:szCs w:val="22"/>
        </w:rPr>
      </w:pPr>
    </w:p>
    <w:p w14:paraId="058FA058" w14:textId="137D533D" w:rsidR="003739E7" w:rsidRPr="003739E7" w:rsidRDefault="003739E7" w:rsidP="00993FBD">
      <w:pPr>
        <w:rPr>
          <w:rFonts w:asciiTheme="majorHAnsi" w:hAnsiTheme="majorHAnsi" w:cstheme="majorHAnsi"/>
          <w:sz w:val="22"/>
          <w:szCs w:val="22"/>
        </w:rPr>
      </w:pPr>
    </w:p>
    <w:p w14:paraId="67D8F279" w14:textId="484F2BAC" w:rsidR="00993FBD" w:rsidRPr="003739E7" w:rsidRDefault="00993FBD" w:rsidP="00993FBD">
      <w:pPr>
        <w:rPr>
          <w:rFonts w:asciiTheme="majorHAnsi" w:hAnsiTheme="majorHAnsi" w:cstheme="majorHAnsi"/>
          <w:b/>
          <w:bCs/>
          <w:i/>
          <w:iCs/>
          <w:sz w:val="22"/>
          <w:szCs w:val="22"/>
        </w:rPr>
      </w:pPr>
    </w:p>
    <w:p w14:paraId="764E5A87" w14:textId="77777777" w:rsidR="003739E7" w:rsidRDefault="003739E7" w:rsidP="00993FBD">
      <w:pPr>
        <w:rPr>
          <w:rFonts w:asciiTheme="majorHAnsi" w:hAnsiTheme="majorHAnsi" w:cstheme="majorHAnsi"/>
          <w:b/>
          <w:bCs/>
          <w:i/>
          <w:iCs/>
          <w:sz w:val="22"/>
          <w:szCs w:val="22"/>
        </w:rPr>
      </w:pPr>
    </w:p>
    <w:p w14:paraId="43270692" w14:textId="77777777" w:rsidR="003739E7" w:rsidRDefault="003739E7" w:rsidP="00993FBD">
      <w:pPr>
        <w:rPr>
          <w:rFonts w:asciiTheme="majorHAnsi" w:hAnsiTheme="majorHAnsi" w:cstheme="majorHAnsi"/>
          <w:b/>
          <w:bCs/>
          <w:i/>
          <w:iCs/>
          <w:sz w:val="22"/>
          <w:szCs w:val="22"/>
        </w:rPr>
      </w:pPr>
    </w:p>
    <w:p w14:paraId="20857C68" w14:textId="54F4E680" w:rsidR="003739E7" w:rsidRDefault="003739E7" w:rsidP="00993FBD">
      <w:pPr>
        <w:rPr>
          <w:rFonts w:asciiTheme="majorHAnsi" w:hAnsiTheme="majorHAnsi" w:cstheme="majorHAnsi"/>
          <w:b/>
          <w:bCs/>
          <w:i/>
          <w:iCs/>
          <w:sz w:val="22"/>
          <w:szCs w:val="22"/>
        </w:rPr>
      </w:pPr>
    </w:p>
    <w:p w14:paraId="413CEEC3" w14:textId="3EE3D2FF" w:rsidR="003739E7" w:rsidRDefault="003739E7" w:rsidP="00993FBD">
      <w:pPr>
        <w:rPr>
          <w:rFonts w:asciiTheme="majorHAnsi" w:hAnsiTheme="majorHAnsi" w:cstheme="majorHAnsi"/>
          <w:b/>
          <w:bCs/>
          <w:i/>
          <w:iCs/>
          <w:sz w:val="22"/>
          <w:szCs w:val="22"/>
        </w:rPr>
      </w:pPr>
    </w:p>
    <w:p w14:paraId="7B699241" w14:textId="500ED346" w:rsidR="003739E7" w:rsidRDefault="003739E7" w:rsidP="00993FBD">
      <w:pPr>
        <w:rPr>
          <w:rFonts w:asciiTheme="majorHAnsi" w:hAnsiTheme="majorHAnsi" w:cstheme="majorHAnsi"/>
          <w:b/>
          <w:bCs/>
          <w:i/>
          <w:iCs/>
          <w:sz w:val="22"/>
          <w:szCs w:val="22"/>
        </w:rPr>
      </w:pPr>
    </w:p>
    <w:p w14:paraId="07D7870E" w14:textId="77777777" w:rsidR="003739E7" w:rsidRDefault="003739E7" w:rsidP="00993FBD">
      <w:pPr>
        <w:rPr>
          <w:rFonts w:asciiTheme="majorHAnsi" w:hAnsiTheme="majorHAnsi" w:cstheme="majorHAnsi"/>
          <w:b/>
          <w:bCs/>
          <w:i/>
          <w:iCs/>
          <w:sz w:val="22"/>
          <w:szCs w:val="22"/>
        </w:rPr>
      </w:pPr>
    </w:p>
    <w:p w14:paraId="08DAF2EA" w14:textId="65F1C9CC"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Biological Monitoring Guidance Value (BMGV)</w:t>
      </w:r>
    </w:p>
    <w:p w14:paraId="012BA590" w14:textId="26452B97" w:rsidR="00993FBD" w:rsidRPr="003739E7" w:rsidRDefault="00993FBD" w:rsidP="00993FBD">
      <w:pPr>
        <w:rPr>
          <w:rFonts w:asciiTheme="majorHAnsi" w:hAnsiTheme="majorHAnsi" w:cstheme="majorHAnsi"/>
          <w:b/>
          <w:bCs/>
          <w:i/>
          <w:iCs/>
          <w:sz w:val="22"/>
          <w:szCs w:val="22"/>
        </w:rPr>
      </w:pPr>
    </w:p>
    <w:p w14:paraId="52A59E26"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1µmol isocyanate-derived diamine/mol creatinine.</w:t>
      </w:r>
    </w:p>
    <w:p w14:paraId="36B0F8EA"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Based on 90</w:t>
      </w:r>
      <w:r w:rsidRPr="003739E7">
        <w:rPr>
          <w:rFonts w:asciiTheme="majorHAnsi" w:hAnsiTheme="majorHAnsi" w:cstheme="majorHAnsi"/>
          <w:sz w:val="22"/>
          <w:szCs w:val="22"/>
          <w:vertAlign w:val="superscript"/>
        </w:rPr>
        <w:t>th</w:t>
      </w:r>
      <w:r w:rsidRPr="003739E7">
        <w:rPr>
          <w:rFonts w:asciiTheme="majorHAnsi" w:hAnsiTheme="majorHAnsi" w:cstheme="majorHAnsi"/>
          <w:sz w:val="22"/>
          <w:szCs w:val="22"/>
        </w:rPr>
        <w:t xml:space="preserve"> percentile of data from exposed workers judged by expert occupational hygienist to be used good exposure control practices.</w:t>
      </w:r>
    </w:p>
    <w:p w14:paraId="3E49EC12" w14:textId="77777777" w:rsidR="00993FBD" w:rsidRPr="003739E7" w:rsidRDefault="00993FBD" w:rsidP="00993FBD">
      <w:pPr>
        <w:rPr>
          <w:rFonts w:asciiTheme="majorHAnsi" w:hAnsiTheme="majorHAnsi" w:cstheme="majorHAnsi"/>
          <w:i/>
          <w:iCs/>
          <w:sz w:val="22"/>
          <w:szCs w:val="22"/>
        </w:rPr>
      </w:pPr>
    </w:p>
    <w:p w14:paraId="34F237D2" w14:textId="027B3E0A"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Other Guidance Values</w:t>
      </w:r>
    </w:p>
    <w:p w14:paraId="4D07A601" w14:textId="77777777" w:rsidR="00993FBD" w:rsidRPr="003739E7" w:rsidRDefault="00993FBD" w:rsidP="00993FBD">
      <w:pPr>
        <w:rPr>
          <w:rFonts w:asciiTheme="majorHAnsi" w:hAnsiTheme="majorHAnsi" w:cstheme="majorHAnsi"/>
          <w:b/>
          <w:bCs/>
          <w:i/>
          <w:iCs/>
          <w:sz w:val="22"/>
          <w:szCs w:val="22"/>
        </w:rPr>
      </w:pPr>
    </w:p>
    <w:p w14:paraId="4B543F7E" w14:textId="483E0436"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The ACGIH BEI for TDI is 5µg/g (approx.  5µmol/mol creatinine) and for HDI is 15µg/g (approx.</w:t>
      </w:r>
    </w:p>
    <w:p w14:paraId="7A149432" w14:textId="37FAC435"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15µmol/mol  creatinine). The DFG BAT for HDI is 15µg/g (approx. 15µmol/mol creatinine) and for</w:t>
      </w:r>
    </w:p>
    <w:p w14:paraId="028630B0" w14:textId="383908E3"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MDI is 10µg/L (approx. 4µmol/mol creatinine).</w:t>
      </w:r>
    </w:p>
    <w:p w14:paraId="7106806A" w14:textId="5E7925C2"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Guidance values set by different organisations will vary, based on factors including available data and scientific knowledge at the time and interpretation of the toxicology data.</w:t>
      </w:r>
    </w:p>
    <w:p w14:paraId="4EB566AD" w14:textId="77777777" w:rsidR="003739E7" w:rsidRDefault="003739E7" w:rsidP="00993FBD">
      <w:pPr>
        <w:rPr>
          <w:rFonts w:asciiTheme="majorHAnsi" w:hAnsiTheme="majorHAnsi" w:cstheme="majorHAnsi"/>
          <w:b/>
          <w:bCs/>
          <w:sz w:val="22"/>
          <w:szCs w:val="22"/>
        </w:rPr>
      </w:pPr>
    </w:p>
    <w:p w14:paraId="1E7B70ED" w14:textId="7CA6592F"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Sample Collection</w:t>
      </w:r>
    </w:p>
    <w:p w14:paraId="14B86D18" w14:textId="77777777" w:rsidR="003739E7" w:rsidRPr="003739E7" w:rsidRDefault="003739E7" w:rsidP="00993FBD">
      <w:pPr>
        <w:rPr>
          <w:rFonts w:asciiTheme="majorHAnsi" w:hAnsiTheme="majorHAnsi" w:cstheme="majorHAnsi"/>
          <w:sz w:val="22"/>
          <w:szCs w:val="22"/>
        </w:rPr>
      </w:pPr>
    </w:p>
    <w:p w14:paraId="00A80360" w14:textId="40697661" w:rsidR="00993FBD"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Urine samples should be collected at the end of shift into polystyrene universal containers (30mL) containing 0.5g citric acid.</w:t>
      </w:r>
    </w:p>
    <w:p w14:paraId="28EF3A8F" w14:textId="77777777" w:rsidR="003739E7" w:rsidRPr="003739E7" w:rsidRDefault="003739E7" w:rsidP="00993FBD">
      <w:pPr>
        <w:rPr>
          <w:rFonts w:asciiTheme="majorHAnsi" w:hAnsiTheme="majorHAnsi" w:cstheme="majorHAnsi"/>
          <w:sz w:val="22"/>
          <w:szCs w:val="22"/>
        </w:rPr>
      </w:pPr>
    </w:p>
    <w:p w14:paraId="45595BBB" w14:textId="023DDF81"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lastRenderedPageBreak/>
        <w:t>Sample Transport to Laboratory</w:t>
      </w:r>
    </w:p>
    <w:p w14:paraId="1AB40AAB" w14:textId="77777777" w:rsidR="003739E7" w:rsidRPr="003739E7" w:rsidRDefault="003739E7" w:rsidP="00993FBD">
      <w:pPr>
        <w:rPr>
          <w:rFonts w:asciiTheme="majorHAnsi" w:hAnsiTheme="majorHAnsi" w:cstheme="majorHAnsi"/>
          <w:b/>
          <w:bCs/>
          <w:sz w:val="22"/>
          <w:szCs w:val="22"/>
        </w:rPr>
      </w:pPr>
    </w:p>
    <w:p w14:paraId="1020E02A"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58446CD2" w14:textId="77777777" w:rsidR="00993FBD" w:rsidRPr="003739E7" w:rsidRDefault="00993FBD" w:rsidP="00993FBD">
      <w:pPr>
        <w:rPr>
          <w:rFonts w:asciiTheme="majorHAnsi" w:hAnsiTheme="majorHAnsi" w:cstheme="majorHAnsi"/>
          <w:sz w:val="22"/>
          <w:szCs w:val="22"/>
        </w:rPr>
      </w:pPr>
    </w:p>
    <w:p w14:paraId="540F8BA8" w14:textId="0809FB73"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Description of Suggested Method</w:t>
      </w:r>
    </w:p>
    <w:p w14:paraId="02000D2C" w14:textId="77777777" w:rsidR="003739E7" w:rsidRPr="003739E7" w:rsidRDefault="003739E7" w:rsidP="00993FBD">
      <w:pPr>
        <w:rPr>
          <w:rFonts w:asciiTheme="majorHAnsi" w:hAnsiTheme="majorHAnsi" w:cstheme="majorHAnsi"/>
          <w:b/>
          <w:bCs/>
          <w:sz w:val="22"/>
          <w:szCs w:val="22"/>
        </w:rPr>
      </w:pPr>
    </w:p>
    <w:p w14:paraId="736D7DED" w14:textId="64FFCD65" w:rsidR="00993FBD" w:rsidRDefault="003739E7" w:rsidP="00993FBD">
      <w:pPr>
        <w:rPr>
          <w:rFonts w:asciiTheme="majorHAnsi" w:hAnsiTheme="majorHAnsi" w:cstheme="majorHAnsi"/>
          <w:sz w:val="22"/>
          <w:szCs w:val="22"/>
        </w:rPr>
      </w:pPr>
      <w:r w:rsidRPr="003739E7">
        <w:rPr>
          <w:rFonts w:asciiTheme="majorHAnsi" w:hAnsiTheme="majorHAnsi" w:cstheme="majorHAnsi"/>
          <w:noProof/>
          <w:sz w:val="22"/>
          <w:szCs w:val="22"/>
          <w:lang w:eastAsia="en-GB"/>
        </w:rPr>
        <mc:AlternateContent>
          <mc:Choice Requires="wps">
            <w:drawing>
              <wp:anchor distT="0" distB="0" distL="114300" distR="114300" simplePos="0" relativeHeight="251664384" behindDoc="0" locked="0" layoutInCell="1" allowOverlap="1" wp14:anchorId="7E1689FC" wp14:editId="6B6A7992">
                <wp:simplePos x="0" y="0"/>
                <wp:positionH relativeFrom="margin">
                  <wp:align>left</wp:align>
                </wp:positionH>
                <wp:positionV relativeFrom="paragraph">
                  <wp:posOffset>983615</wp:posOffset>
                </wp:positionV>
                <wp:extent cx="4991100" cy="20574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057400"/>
                        </a:xfrm>
                        <a:prstGeom prst="rect">
                          <a:avLst/>
                        </a:prstGeom>
                        <a:solidFill>
                          <a:srgbClr val="FFFFFF"/>
                        </a:solidFill>
                        <a:ln w="9525">
                          <a:solidFill>
                            <a:srgbClr val="000000"/>
                          </a:solidFill>
                          <a:miter lim="800000"/>
                          <a:headEnd/>
                          <a:tailEnd/>
                        </a:ln>
                      </wps:spPr>
                      <wps:txbx>
                        <w:txbxContent>
                          <w:p w14:paraId="346C67A3" w14:textId="77777777" w:rsid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 xml:space="preserve">Analytical Evaluation </w:t>
                            </w:r>
                          </w:p>
                          <w:p w14:paraId="082C4D34" w14:textId="77777777" w:rsidR="003739E7" w:rsidRDefault="003739E7" w:rsidP="00993FBD">
                            <w:pPr>
                              <w:rPr>
                                <w:rFonts w:asciiTheme="majorHAnsi" w:hAnsiTheme="majorHAnsi" w:cstheme="majorHAnsi"/>
                                <w:b/>
                                <w:bCs/>
                                <w:sz w:val="22"/>
                                <w:szCs w:val="22"/>
                              </w:rPr>
                            </w:pPr>
                          </w:p>
                          <w:p w14:paraId="69FC5A3C" w14:textId="3DD0A3E5"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sz w:val="22"/>
                                <w:szCs w:val="22"/>
                              </w:rPr>
                              <w:t>Detection limit: 1nmol/L (3 x background,  approx. 0.1µmol/mol creatinine)</w:t>
                            </w:r>
                          </w:p>
                          <w:p w14:paraId="111EB10D"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Limit of Quantitation: 5nmol/L (5 x detection limit, approx. 0.5 µmol/mol creatinine)</w:t>
                            </w:r>
                          </w:p>
                          <w:p w14:paraId="617AFFDC"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Calibration range: Typically 0-160 nmol/L</w:t>
                            </w:r>
                          </w:p>
                          <w:p w14:paraId="46B68758"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Precision:</w:t>
                            </w:r>
                          </w:p>
                          <w:p w14:paraId="63730E70"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within  day &lt;5%  RSD at 200nmol/L</w:t>
                            </w:r>
                          </w:p>
                          <w:p w14:paraId="4FFDC5DD"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day to day &lt;12%  RSD at 200nmol/L</w:t>
                            </w:r>
                          </w:p>
                          <w:p w14:paraId="559C8DB2"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Sample stability: 2 days at ambient temperature,  &gt;3 months at 20°C</w:t>
                            </w:r>
                          </w:p>
                          <w:p w14:paraId="71F4BA68"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xml:space="preserve">Analytical Interferences: None known </w:t>
                            </w:r>
                          </w:p>
                          <w:p w14:paraId="54A01254"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Quality assurance: GEQAS (www.g-equas.de).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689FC" id="_x0000_s1028" type="#_x0000_t202" style="position:absolute;margin-left:0;margin-top:77.45pt;width:393pt;height:16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">
                <v:textbox>
                  <w:txbxContent>
                    <w:p w14:paraId="346C67A3" w14:textId="77777777" w:rsid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 xml:space="preserve">Analytical Evaluation </w:t>
                      </w:r>
                    </w:p>
                    <w:p w14:paraId="082C4D34" w14:textId="77777777" w:rsidR="003739E7" w:rsidRDefault="003739E7" w:rsidP="00993FBD">
                      <w:pPr>
                        <w:rPr>
                          <w:rFonts w:asciiTheme="majorHAnsi" w:hAnsiTheme="majorHAnsi" w:cstheme="majorHAnsi"/>
                          <w:b/>
                          <w:bCs/>
                          <w:sz w:val="22"/>
                          <w:szCs w:val="22"/>
                        </w:rPr>
                      </w:pPr>
                    </w:p>
                    <w:p w14:paraId="69FC5A3C" w14:textId="3DD0A3E5"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sz w:val="22"/>
                          <w:szCs w:val="22"/>
                        </w:rPr>
                        <w:t>Detection limit: 1nmol/L (3 x background,  approx. 0.1µmol/mol creatinine)</w:t>
                      </w:r>
                    </w:p>
                    <w:p w14:paraId="111EB10D"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Limit of Quantitation: 5nmol/L (5 x detection limit, approx. 0.5 µmol/mol creatinine)</w:t>
                      </w:r>
                    </w:p>
                    <w:p w14:paraId="617AFFDC"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Calibration range: Typically 0-160 nmol/L</w:t>
                      </w:r>
                    </w:p>
                    <w:p w14:paraId="46B68758"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Precision:</w:t>
                      </w:r>
                    </w:p>
                    <w:p w14:paraId="63730E70"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within  day &lt;5%  RSD at 200nmol/L</w:t>
                      </w:r>
                    </w:p>
                    <w:p w14:paraId="4FFDC5DD"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day to day &lt;12%  RSD at 200nmol/L</w:t>
                      </w:r>
                    </w:p>
                    <w:p w14:paraId="559C8DB2"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Sample stability: 2 days at ambient temperature,  &gt;3 months at 20°C</w:t>
                      </w:r>
                    </w:p>
                    <w:p w14:paraId="71F4BA68"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xml:space="preserve">Analytical Interferences: None known </w:t>
                      </w:r>
                    </w:p>
                    <w:p w14:paraId="54A01254"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Quality assurance: GEQAS (www.g-equas.de).</w:t>
                      </w:r>
                    </w:p>
                  </w:txbxContent>
                </v:textbox>
                <w10:wrap type="topAndBottom" anchorx="margin"/>
              </v:shape>
            </w:pict>
          </mc:Fallback>
        </mc:AlternateContent>
      </w:r>
      <w:r w:rsidR="00993FBD" w:rsidRPr="003739E7">
        <w:rPr>
          <w:rFonts w:asciiTheme="majorHAnsi" w:hAnsiTheme="majorHAnsi" w:cstheme="majorHAnsi"/>
          <w:sz w:val="22"/>
          <w:szCs w:val="22"/>
        </w:rPr>
        <w:t>Urine samples (2ml) are acid-hydrolysed to release free di-amine metabolites. Isotope-labelled analytes are added as internal standard. Following liquid-liquid extraction into diethyl ether, samples are derivatised prior to analysis by gas chromatography with mass spectrometry detection, using negative chemical ionisation (methane). Multiple similar methods have been reported by different laboratories and they can be found in the published scientific literature.</w:t>
      </w:r>
    </w:p>
    <w:p w14:paraId="44777A53" w14:textId="77777777" w:rsidR="003739E7" w:rsidRDefault="003739E7" w:rsidP="00993FBD">
      <w:pPr>
        <w:rPr>
          <w:rFonts w:asciiTheme="majorHAnsi" w:hAnsiTheme="majorHAnsi" w:cstheme="majorHAnsi"/>
          <w:sz w:val="22"/>
          <w:szCs w:val="22"/>
        </w:rPr>
      </w:pPr>
    </w:p>
    <w:p w14:paraId="4A84DB64" w14:textId="6EC6D9C3"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When to take a sample?</w:t>
      </w:r>
    </w:p>
    <w:p w14:paraId="5D9D0B32" w14:textId="77777777" w:rsidR="003739E7" w:rsidRPr="003739E7" w:rsidRDefault="003739E7" w:rsidP="00993FBD">
      <w:pPr>
        <w:rPr>
          <w:rFonts w:asciiTheme="majorHAnsi" w:hAnsiTheme="majorHAnsi" w:cstheme="majorHAnsi"/>
          <w:b/>
          <w:bCs/>
          <w:sz w:val="22"/>
          <w:szCs w:val="22"/>
        </w:rPr>
      </w:pPr>
    </w:p>
    <w:p w14:paraId="65E1738D" w14:textId="77777777" w:rsidR="00993FBD" w:rsidRPr="003739E7" w:rsidRDefault="00993FBD" w:rsidP="00993FBD">
      <w:pPr>
        <w:rPr>
          <w:rFonts w:asciiTheme="majorHAnsi" w:hAnsiTheme="majorHAnsi" w:cstheme="majorHAnsi"/>
          <w:sz w:val="22"/>
          <w:szCs w:val="22"/>
        </w:rPr>
      </w:pPr>
      <w:bookmarkStart w:id="0" w:name="_Hlk95989111"/>
      <w:r w:rsidRPr="003739E7">
        <w:rPr>
          <w:rFonts w:asciiTheme="majorHAnsi" w:hAnsiTheme="majorHAnsi" w:cstheme="majorHAnsi"/>
          <w:sz w:val="22"/>
          <w:szCs w:val="22"/>
        </w:rPr>
        <w:t xml:space="preserve">Elimination half-life is a measure of the rate of removal of a substance that has been taken into the body. It helps to identify when it is best to take a sample following potential exposure and indicates the potential ‘exposure window’ that will be reflected by a result. </w:t>
      </w:r>
    </w:p>
    <w:bookmarkEnd w:id="0"/>
    <w:p w14:paraId="151ADB77"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For HDI, IPDI and TDI, the elimination of their corresponding diamine metabolites into urine has an approximate half-life of between 2 and 3 hours. These are fairly short half-lives, so urine samples should be collected at end of the shift (or even shortly after the end of a task if exposure is anticipated to only occur early in a shift). Results will predominantly reflect that day’s exposure (previous 10 – 15 hours).</w:t>
      </w:r>
    </w:p>
    <w:p w14:paraId="426225A5"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For MDI in urine, the half-life is much longer (over 50 hours has been reported for repeated exposures (Dalene et al, 1997) and so previous days’ exposures will influence results. Post-shift urine sampling is still recommended, however, if individuals are potentially exposed over consecutive days, taking a sample towards the end of the working week can be considered. MDI exposure commonly includes a significant component of dermal absorption (via skin exposure) and this is reflected by a longer elimination half-life. Consequently, where dermal exposure is significant, higher urine MDA levels are often observed pre-shift the following day. Determining the optimal time to take samples for biomonitoring MDI exposure therefore requires consideration of when and how product is being used and likely routes of exposure.</w:t>
      </w:r>
    </w:p>
    <w:p w14:paraId="4A4AF45F" w14:textId="77777777" w:rsidR="00993FBD" w:rsidRPr="003739E7" w:rsidRDefault="00993FBD" w:rsidP="00993FBD">
      <w:pPr>
        <w:rPr>
          <w:rFonts w:asciiTheme="majorHAnsi" w:hAnsiTheme="majorHAnsi" w:cstheme="majorHAnsi"/>
          <w:sz w:val="22"/>
          <w:szCs w:val="22"/>
        </w:rPr>
      </w:pPr>
    </w:p>
    <w:p w14:paraId="388DBAA7" w14:textId="6CC352A8" w:rsidR="00993FBD"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lastRenderedPageBreak/>
        <w:t>Other Information</w:t>
      </w:r>
    </w:p>
    <w:p w14:paraId="1C46DA8A" w14:textId="77777777" w:rsidR="003739E7" w:rsidRPr="003739E7" w:rsidRDefault="003739E7" w:rsidP="00993FBD">
      <w:pPr>
        <w:rPr>
          <w:rFonts w:asciiTheme="majorHAnsi" w:hAnsiTheme="majorHAnsi" w:cstheme="majorHAnsi"/>
          <w:b/>
          <w:bCs/>
          <w:sz w:val="22"/>
          <w:szCs w:val="22"/>
        </w:rPr>
      </w:pPr>
    </w:p>
    <w:p w14:paraId="303E5FDA" w14:textId="653A9C00"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Confounding factors</w:t>
      </w:r>
    </w:p>
    <w:p w14:paraId="147F8ADD" w14:textId="77777777" w:rsidR="003739E7" w:rsidRPr="003739E7" w:rsidRDefault="003739E7" w:rsidP="00993FBD">
      <w:pPr>
        <w:rPr>
          <w:rFonts w:asciiTheme="majorHAnsi" w:hAnsiTheme="majorHAnsi" w:cstheme="majorHAnsi"/>
          <w:b/>
          <w:bCs/>
          <w:sz w:val="22"/>
          <w:szCs w:val="22"/>
        </w:rPr>
      </w:pPr>
    </w:p>
    <w:p w14:paraId="63EFF719"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xml:space="preserve">Exposure  to free  hexamethylene  diamine, toluene diamine, </w:t>
      </w:r>
      <w:proofErr w:type="spellStart"/>
      <w:r w:rsidRPr="003739E7">
        <w:rPr>
          <w:rFonts w:asciiTheme="majorHAnsi" w:hAnsiTheme="majorHAnsi" w:cstheme="majorHAnsi"/>
          <w:sz w:val="22"/>
          <w:szCs w:val="22"/>
        </w:rPr>
        <w:t>isophorone</w:t>
      </w:r>
      <w:proofErr w:type="spellEnd"/>
      <w:r w:rsidRPr="003739E7">
        <w:rPr>
          <w:rFonts w:asciiTheme="majorHAnsi" w:hAnsiTheme="majorHAnsi" w:cstheme="majorHAnsi"/>
          <w:sz w:val="22"/>
          <w:szCs w:val="22"/>
        </w:rPr>
        <w:t xml:space="preserve"> diamine and methylene  </w:t>
      </w:r>
      <w:proofErr w:type="spellStart"/>
      <w:r w:rsidRPr="003739E7">
        <w:rPr>
          <w:rFonts w:asciiTheme="majorHAnsi" w:hAnsiTheme="majorHAnsi" w:cstheme="majorHAnsi"/>
          <w:sz w:val="22"/>
          <w:szCs w:val="22"/>
        </w:rPr>
        <w:t>dianiline</w:t>
      </w:r>
      <w:proofErr w:type="spellEnd"/>
      <w:r w:rsidRPr="003739E7">
        <w:rPr>
          <w:rFonts w:asciiTheme="majorHAnsi" w:hAnsiTheme="majorHAnsi" w:cstheme="majorHAnsi"/>
          <w:sz w:val="22"/>
          <w:szCs w:val="22"/>
        </w:rPr>
        <w:t xml:space="preserve">  will also  contribute  to their respective  urinary  diamine  levels and may confound assessment of exposure to the isocyanates. Amines are themselves widely used industrial chemicals and they present their own potential hazards to health that should be properly controlled.</w:t>
      </w:r>
    </w:p>
    <w:p w14:paraId="07E7702C" w14:textId="77777777"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Unexposed level</w:t>
      </w:r>
    </w:p>
    <w:p w14:paraId="54C705A6"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Below the quantitation limit.</w:t>
      </w:r>
    </w:p>
    <w:p w14:paraId="72309DF3"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xml:space="preserve">There is potential for very low-level exposure to isocyanates from a variety of consumer products, but these are unlikely to be detected in urine samples. Exposure to some DIY products, including foams and adhesives, or application of isocyanate-containing spray paints outside of work could give rise to more elevated levels. </w:t>
      </w:r>
    </w:p>
    <w:p w14:paraId="4E285BA7" w14:textId="77777777" w:rsidR="00993FBD" w:rsidRPr="003739E7" w:rsidRDefault="00993FBD" w:rsidP="00993FBD">
      <w:pPr>
        <w:rPr>
          <w:rFonts w:asciiTheme="majorHAnsi" w:hAnsiTheme="majorHAnsi" w:cstheme="majorHAnsi"/>
          <w:b/>
          <w:bCs/>
          <w:sz w:val="22"/>
          <w:szCs w:val="22"/>
        </w:rPr>
      </w:pPr>
      <w:r w:rsidRPr="003739E7">
        <w:rPr>
          <w:rFonts w:asciiTheme="majorHAnsi" w:hAnsiTheme="majorHAnsi" w:cstheme="majorHAnsi"/>
          <w:b/>
          <w:bCs/>
          <w:sz w:val="22"/>
          <w:szCs w:val="22"/>
        </w:rPr>
        <w:t>Creatinine correction is advised</w:t>
      </w:r>
    </w:p>
    <w:p w14:paraId="7D50F08D" w14:textId="77777777" w:rsidR="00993FBD" w:rsidRPr="003739E7" w:rsidRDefault="00993FBD" w:rsidP="00993FBD">
      <w:pPr>
        <w:rPr>
          <w:rFonts w:asciiTheme="majorHAnsi" w:hAnsiTheme="majorHAnsi" w:cstheme="majorHAnsi"/>
          <w:sz w:val="22"/>
          <w:szCs w:val="22"/>
        </w:rPr>
      </w:pPr>
    </w:p>
    <w:p w14:paraId="25295E17" w14:textId="7BFEF21C"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Interpretation</w:t>
      </w:r>
    </w:p>
    <w:p w14:paraId="7E9B145A" w14:textId="77777777" w:rsidR="003739E7" w:rsidRPr="003739E7" w:rsidRDefault="003739E7" w:rsidP="00993FBD">
      <w:pPr>
        <w:rPr>
          <w:rFonts w:asciiTheme="majorHAnsi" w:hAnsiTheme="majorHAnsi" w:cstheme="majorHAnsi"/>
          <w:b/>
          <w:bCs/>
          <w:sz w:val="22"/>
          <w:szCs w:val="22"/>
        </w:rPr>
      </w:pPr>
    </w:p>
    <w:p w14:paraId="3F0B5E6A" w14:textId="1E68CE63" w:rsidR="00993FBD"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Urinary isocyanate metabolite results reflect systematic exposure to isocyanates that may have entered the body by inhalation or through the skin. If biological monitoring results are greater than the guidance value, it does not necessarily mean that ill health will occur, but it does mean that exposure is not being adequately controlled.  An elevated result should be re-tested as soon as possible to help establish whether it represents ongoing workplace exposure or a ‘one-off’ event. If necessary, employers will need to look at current work practices to see how they can be improved to reduce exposure.</w:t>
      </w:r>
    </w:p>
    <w:p w14:paraId="35C27206" w14:textId="77777777" w:rsidR="003739E7" w:rsidRPr="003739E7" w:rsidRDefault="003739E7" w:rsidP="00993FBD">
      <w:pPr>
        <w:rPr>
          <w:rFonts w:asciiTheme="majorHAnsi" w:hAnsiTheme="majorHAnsi" w:cstheme="majorHAnsi"/>
          <w:sz w:val="22"/>
          <w:szCs w:val="22"/>
        </w:rPr>
      </w:pPr>
    </w:p>
    <w:p w14:paraId="3231DBFB" w14:textId="7F9D23A5" w:rsidR="00993FBD" w:rsidRPr="003739E7" w:rsidRDefault="00993FBD" w:rsidP="00993FBD">
      <w:pPr>
        <w:rPr>
          <w:rFonts w:asciiTheme="majorHAnsi" w:hAnsiTheme="majorHAnsi" w:cstheme="majorHAnsi"/>
          <w:b/>
          <w:bCs/>
          <w:i/>
          <w:iCs/>
          <w:sz w:val="22"/>
          <w:szCs w:val="22"/>
        </w:rPr>
      </w:pPr>
      <w:r w:rsidRPr="003739E7">
        <w:rPr>
          <w:rFonts w:asciiTheme="majorHAnsi" w:hAnsiTheme="majorHAnsi" w:cstheme="majorHAnsi"/>
          <w:b/>
          <w:bCs/>
          <w:i/>
          <w:iCs/>
          <w:sz w:val="22"/>
          <w:szCs w:val="22"/>
        </w:rPr>
        <w:t>Further information</w:t>
      </w:r>
    </w:p>
    <w:p w14:paraId="4A6D7E7B" w14:textId="77777777" w:rsidR="003739E7" w:rsidRPr="003739E7" w:rsidRDefault="003739E7" w:rsidP="00993FBD">
      <w:pPr>
        <w:rPr>
          <w:rFonts w:asciiTheme="majorHAnsi" w:hAnsiTheme="majorHAnsi" w:cstheme="majorHAnsi"/>
          <w:b/>
          <w:bCs/>
          <w:sz w:val="22"/>
          <w:szCs w:val="22"/>
        </w:rPr>
      </w:pPr>
    </w:p>
    <w:p w14:paraId="3DD0ECFF" w14:textId="77777777"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xml:space="preserve">EH40 List of Approved Workplace Exposure Limits </w:t>
      </w:r>
      <w:hyperlink r:id="rId7" w:history="1">
        <w:r w:rsidRPr="003739E7">
          <w:rPr>
            <w:rStyle w:val="Hyperlink"/>
            <w:rFonts w:asciiTheme="majorHAnsi" w:hAnsiTheme="majorHAnsi" w:cstheme="majorHAnsi"/>
            <w:sz w:val="22"/>
            <w:szCs w:val="22"/>
          </w:rPr>
          <w:t>http://www.hse.gov.uk/pubns/books/eh40.htm</w:t>
        </w:r>
      </w:hyperlink>
    </w:p>
    <w:p w14:paraId="1320D10D" w14:textId="490B5F00"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xml:space="preserve">Further information on undertaking urine sampling for isocyanate exposure measurement is available in HSE’s COSHH essentials general guidance leaflet, G408. </w:t>
      </w:r>
      <w:hyperlink r:id="rId8" w:history="1">
        <w:r w:rsidRPr="003739E7">
          <w:rPr>
            <w:rStyle w:val="Hyperlink"/>
            <w:rFonts w:asciiTheme="majorHAnsi" w:hAnsiTheme="majorHAnsi" w:cstheme="majorHAnsi"/>
            <w:sz w:val="22"/>
            <w:szCs w:val="22"/>
          </w:rPr>
          <w:t>https://www.hse.gov.uk/pubns/guidance/g408.pdf</w:t>
        </w:r>
      </w:hyperlink>
    </w:p>
    <w:p w14:paraId="6D008E1A" w14:textId="2B0506E9" w:rsidR="00993FBD" w:rsidRPr="003739E7" w:rsidRDefault="00993FBD" w:rsidP="00993FBD">
      <w:pPr>
        <w:rPr>
          <w:rFonts w:asciiTheme="majorHAnsi" w:hAnsiTheme="majorHAnsi" w:cstheme="majorHAnsi"/>
          <w:sz w:val="22"/>
          <w:szCs w:val="22"/>
        </w:rPr>
      </w:pPr>
      <w:r w:rsidRPr="003739E7">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9" w:history="1">
        <w:r w:rsidRPr="003739E7">
          <w:rPr>
            <w:rStyle w:val="Hyperlink"/>
            <w:rFonts w:asciiTheme="majorHAnsi" w:hAnsiTheme="majorHAnsi" w:cstheme="majorHAnsi"/>
            <w:sz w:val="22"/>
            <w:szCs w:val="22"/>
          </w:rPr>
          <w:t>BOHS-Biological-Monitoring-A-tool-for-helping-to-assess-workplace-exposure-rebranded.pdf</w:t>
        </w:r>
      </w:hyperlink>
    </w:p>
    <w:p w14:paraId="46295905" w14:textId="2DE50DA8" w:rsidR="00993FBD" w:rsidRPr="00CF15A5" w:rsidRDefault="00CF15A5" w:rsidP="00CF15A5">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6432" behindDoc="0" locked="0" layoutInCell="1" allowOverlap="1" wp14:anchorId="21D5D5A0" wp14:editId="1B3257F7">
                <wp:simplePos x="0" y="0"/>
                <wp:positionH relativeFrom="margin">
                  <wp:align>right</wp:align>
                </wp:positionH>
                <wp:positionV relativeFrom="paragraph">
                  <wp:posOffset>568960</wp:posOffset>
                </wp:positionV>
                <wp:extent cx="5715000" cy="13239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23975"/>
                        </a:xfrm>
                        <a:prstGeom prst="rect">
                          <a:avLst/>
                        </a:prstGeom>
                        <a:solidFill>
                          <a:srgbClr val="FFFFFF"/>
                        </a:solidFill>
                        <a:ln w="9525">
                          <a:solidFill>
                            <a:srgbClr val="000000"/>
                          </a:solidFill>
                          <a:miter lim="800000"/>
                          <a:headEnd/>
                          <a:tailEnd/>
                        </a:ln>
                      </wps:spPr>
                      <wps:txbx>
                        <w:txbxContent>
                          <w:p w14:paraId="516D28D9" w14:textId="4D16DB9A" w:rsidR="003739E7" w:rsidRPr="0093432D" w:rsidRDefault="003739E7" w:rsidP="003739E7">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63C4FC2C" w14:textId="77777777" w:rsidR="003739E7" w:rsidRPr="0093432D" w:rsidRDefault="003739E7" w:rsidP="003739E7">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170B210B" w14:textId="77777777" w:rsidR="003739E7" w:rsidRPr="0093432D" w:rsidRDefault="003739E7" w:rsidP="003739E7">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20FF5C8B" w14:textId="77777777" w:rsidR="003739E7" w:rsidRPr="0093432D" w:rsidRDefault="003739E7" w:rsidP="003739E7">
                            <w:pPr>
                              <w:rPr>
                                <w:rFonts w:asciiTheme="majorHAnsi" w:hAnsiTheme="majorHAnsi" w:cstheme="majorHAnsi"/>
                                <w:sz w:val="22"/>
                                <w:szCs w:val="22"/>
                              </w:rPr>
                            </w:pPr>
                            <w:r w:rsidRPr="0093432D">
                              <w:rPr>
                                <w:rFonts w:asciiTheme="majorHAnsi" w:hAnsiTheme="majorHAnsi" w:cstheme="majorHAnsi"/>
                                <w:sz w:val="22"/>
                                <w:szCs w:val="22"/>
                              </w:rPr>
                              <w:t>0203 028 3383</w:t>
                            </w:r>
                          </w:p>
                          <w:p w14:paraId="7F8E0726" w14:textId="77777777" w:rsidR="003739E7" w:rsidRPr="0093432D" w:rsidRDefault="003739E7" w:rsidP="003739E7">
                            <w:pPr>
                              <w:rPr>
                                <w:rFonts w:asciiTheme="majorHAnsi" w:hAnsiTheme="majorHAnsi" w:cstheme="majorHAnsi"/>
                                <w:sz w:val="22"/>
                                <w:szCs w:val="22"/>
                              </w:rPr>
                            </w:pPr>
                          </w:p>
                          <w:p w14:paraId="7398D489" w14:textId="00F38B79" w:rsidR="003739E7" w:rsidRPr="0093432D" w:rsidRDefault="003739E7" w:rsidP="003739E7">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491E7B1D" w14:textId="77777777" w:rsidR="003739E7" w:rsidRPr="0093432D" w:rsidRDefault="003739E7" w:rsidP="003739E7">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5D5A0" id="_x0000_s1029" type="#_x0000_t202" style="position:absolute;margin-left:398.8pt;margin-top:44.8pt;width:450pt;height:10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">
                <v:textbox>
                  <w:txbxContent>
                    <w:p w14:paraId="516D28D9" w14:textId="4D16DB9A" w:rsidR="003739E7" w:rsidRPr="0093432D" w:rsidRDefault="003739E7" w:rsidP="003739E7">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63C4FC2C" w14:textId="77777777" w:rsidR="003739E7" w:rsidRPr="0093432D" w:rsidRDefault="003739E7" w:rsidP="003739E7">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170B210B" w14:textId="77777777" w:rsidR="003739E7" w:rsidRPr="0093432D" w:rsidRDefault="003739E7" w:rsidP="003739E7">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20FF5C8B" w14:textId="77777777" w:rsidR="003739E7" w:rsidRPr="0093432D" w:rsidRDefault="003739E7" w:rsidP="003739E7">
                      <w:pPr>
                        <w:rPr>
                          <w:rFonts w:asciiTheme="majorHAnsi" w:hAnsiTheme="majorHAnsi" w:cstheme="majorHAnsi"/>
                          <w:sz w:val="22"/>
                          <w:szCs w:val="22"/>
                        </w:rPr>
                      </w:pPr>
                      <w:r w:rsidRPr="0093432D">
                        <w:rPr>
                          <w:rFonts w:asciiTheme="majorHAnsi" w:hAnsiTheme="majorHAnsi" w:cstheme="majorHAnsi"/>
                          <w:sz w:val="22"/>
                          <w:szCs w:val="22"/>
                        </w:rPr>
                        <w:t>0203 028 3383</w:t>
                      </w:r>
                    </w:p>
                    <w:p w14:paraId="7F8E0726" w14:textId="77777777" w:rsidR="003739E7" w:rsidRPr="0093432D" w:rsidRDefault="003739E7" w:rsidP="003739E7">
                      <w:pPr>
                        <w:rPr>
                          <w:rFonts w:asciiTheme="majorHAnsi" w:hAnsiTheme="majorHAnsi" w:cstheme="majorHAnsi"/>
                          <w:sz w:val="22"/>
                          <w:szCs w:val="22"/>
                        </w:rPr>
                      </w:pPr>
                    </w:p>
                    <w:p w14:paraId="7398D489" w14:textId="00F38B79" w:rsidR="003739E7" w:rsidRPr="0093432D" w:rsidRDefault="003739E7" w:rsidP="003739E7">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491E7B1D" w14:textId="77777777" w:rsidR="003739E7" w:rsidRPr="0093432D" w:rsidRDefault="003739E7" w:rsidP="003739E7">
                      <w:pPr>
                        <w:rPr>
                          <w:rFonts w:asciiTheme="majorHAnsi" w:hAnsiTheme="majorHAnsi" w:cstheme="majorHAnsi"/>
                          <w:sz w:val="22"/>
                          <w:szCs w:val="22"/>
                        </w:rPr>
                      </w:pPr>
                      <w:hyperlink r:id="rId11"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r w:rsidR="00993FBD" w:rsidRPr="003739E7">
        <w:rPr>
          <w:rFonts w:asciiTheme="majorHAnsi" w:hAnsiTheme="majorHAnsi" w:cstheme="majorHAnsi"/>
          <w:sz w:val="22"/>
          <w:szCs w:val="22"/>
        </w:rPr>
        <w:t>Williams, N.R., Jones, K. and Cocker, J., 1999. Biological monitoring to assess exposure from use of isocyanates in motor vehicle repair. Occupational and environmental medicine, 56(9), pp.598-601.</w:t>
      </w:r>
    </w:p>
    <w:sectPr w:rsidR="00993FBD" w:rsidRPr="00CF15A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739E7"/>
    <w:rsid w:val="003A41BE"/>
    <w:rsid w:val="0040537F"/>
    <w:rsid w:val="00584465"/>
    <w:rsid w:val="00647712"/>
    <w:rsid w:val="007536AD"/>
    <w:rsid w:val="00804D3E"/>
    <w:rsid w:val="008566DB"/>
    <w:rsid w:val="0093432D"/>
    <w:rsid w:val="00993FBD"/>
    <w:rsid w:val="009D662C"/>
    <w:rsid w:val="009E2D03"/>
    <w:rsid w:val="00A03926"/>
    <w:rsid w:val="00A23A85"/>
    <w:rsid w:val="00B551A1"/>
    <w:rsid w:val="00C846D1"/>
    <w:rsid w:val="00C94AF7"/>
    <w:rsid w:val="00CF15A5"/>
    <w:rsid w:val="00D42677"/>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guidance/g40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sl.gov.uk/online-ordering/analytical-services-and-assays/biological-monitorin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bohs.org/app/uploads/2021/08/BOHS-Biological-Monitoring-A-tool-for-helping-to-assess-workplace-exposure-rebrande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2022-07-07T14:29:00Z</dcterms:created>
  <dcterms:modified xsi:type="dcterms:W3CDTF">2022-07-26T15:27:00Z</dcterms:modified>
</cp:coreProperties>
</file>